
<file path=[Content_Types].xml><?xml version="1.0" encoding="utf-8"?>
<Types xmlns="http://schemas.openxmlformats.org/package/2006/content-types">
  <Default Extension="xml" ContentType="application/xml"/>
  <Default Extension="png" ContentType="image/png"/>
  <Default Extension="tiff" ContentType="image/tif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9"/>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0" w:type="dxa"/>
          <w:bottom w:w="0" w:type="dxa"/>
          <w:right w:w="0" w:type="dxa"/>
        </w:tblCellMar>
      </w:tblPr>
      <w:tblGrid>
        <w:gridCol w:w="509"/>
        <w:gridCol w:w="8845"/>
      </w:tblGrid>
      <w:tr w14:paraId="30B83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2E310758">
            <w:pPr>
              <w:pStyle w:val="19"/>
              <w:framePr w:wrap="notBeside" w:vAnchor="page" w:hAnchor="page" w:x="1372" w:y="568"/>
              <w:tabs>
                <w:tab w:val="clear" w:pos="4153"/>
                <w:tab w:val="clear" w:pos="8306"/>
              </w:tabs>
              <w:spacing w:line="240" w:lineRule="auto"/>
              <w:jc w:val="left"/>
              <w:rPr>
                <w:rFonts w:ascii="Times New Roman" w:hAnsi="Times New Roman" w:eastAsia="黑体"/>
                <w:sz w:val="21"/>
                <w:szCs w:val="21"/>
              </w:rPr>
            </w:pPr>
            <w:r>
              <w:rPr>
                <w:rFonts w:ascii="Times New Roman" w:hAnsi="Times New Roman" w:eastAsia="黑体"/>
                <w:sz w:val="21"/>
                <w:szCs w:val="21"/>
              </w:rPr>
              <w:t xml:space="preserve">ICS  </w:t>
            </w:r>
          </w:p>
        </w:tc>
        <w:tc>
          <w:tcPr>
            <w:tcW w:w="8855" w:type="dxa"/>
          </w:tcPr>
          <w:p w14:paraId="7D7D2302">
            <w:pPr>
              <w:pStyle w:val="19"/>
              <w:framePr w:wrap="notBeside" w:vAnchor="page" w:hAnchor="page" w:x="1372" w:y="568"/>
              <w:tabs>
                <w:tab w:val="clear" w:pos="4153"/>
                <w:tab w:val="clear" w:pos="8306"/>
              </w:tabs>
              <w:spacing w:line="240" w:lineRule="auto"/>
              <w:ind w:left="3"/>
              <w:jc w:val="both"/>
              <w:rPr>
                <w:rFonts w:ascii="Times New Roman" w:hAnsi="Times New Roman" w:eastAsia="黑体"/>
                <w:sz w:val="21"/>
                <w:szCs w:val="21"/>
              </w:rPr>
            </w:pPr>
            <w:r>
              <w:rPr>
                <w:rFonts w:hint="eastAsia" w:ascii="Times New Roman" w:hAnsi="Times New Roman" w:eastAsia="黑体"/>
                <w:sz w:val="21"/>
                <w:szCs w:val="21"/>
              </w:rPr>
              <w:t>03.100.01；13.200</w:t>
            </w:r>
          </w:p>
        </w:tc>
      </w:tr>
      <w:tr w14:paraId="1C955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EF05764">
            <w:pPr>
              <w:pStyle w:val="19"/>
              <w:framePr w:wrap="notBeside" w:vAnchor="page" w:hAnchor="page" w:x="1372" w:y="568"/>
              <w:tabs>
                <w:tab w:val="clear" w:pos="4153"/>
                <w:tab w:val="clear" w:pos="8306"/>
              </w:tabs>
              <w:spacing w:before="40" w:line="240" w:lineRule="auto"/>
              <w:jc w:val="left"/>
              <w:rPr>
                <w:rFonts w:ascii="Times New Roman" w:hAnsi="Times New Roman" w:eastAsia="黑体"/>
                <w:sz w:val="21"/>
                <w:szCs w:val="21"/>
              </w:rPr>
            </w:pPr>
            <w:r>
              <w:rPr>
                <w:rFonts w:ascii="Times New Roman" w:hAnsi="Times New Roman" w:eastAsia="黑体"/>
                <w:sz w:val="21"/>
                <w:szCs w:val="21"/>
              </w:rPr>
              <w:t xml:space="preserve">CCS  </w:t>
            </w:r>
          </w:p>
        </w:tc>
        <w:tc>
          <w:tcPr>
            <w:tcW w:w="8855" w:type="dxa"/>
          </w:tcPr>
          <w:p w14:paraId="2A19F610">
            <w:pPr>
              <w:pStyle w:val="19"/>
              <w:framePr w:wrap="notBeside" w:vAnchor="page" w:hAnchor="page" w:x="1372" w:y="568"/>
              <w:tabs>
                <w:tab w:val="clear" w:pos="4153"/>
                <w:tab w:val="clear" w:pos="8306"/>
              </w:tabs>
              <w:spacing w:before="40" w:line="240" w:lineRule="auto"/>
              <w:jc w:val="left"/>
              <w:rPr>
                <w:rFonts w:ascii="Times New Roman" w:hAnsi="Times New Roman" w:eastAsia="黑体"/>
                <w:sz w:val="21"/>
                <w:szCs w:val="21"/>
              </w:rPr>
            </w:pPr>
            <w:r>
              <w:rPr>
                <w:rFonts w:hint="eastAsia" w:ascii="Times New Roman" w:hAnsi="Times New Roman" w:eastAsia="黑体"/>
                <w:sz w:val="21"/>
                <w:szCs w:val="21"/>
              </w:rPr>
              <w:t>A90</w:t>
            </w:r>
          </w:p>
        </w:tc>
      </w:tr>
    </w:tbl>
    <w:p w14:paraId="645E0DFE">
      <w:pPr>
        <w:pStyle w:val="52"/>
        <w:framePr w:w="9639" w:h="624" w:hRule="exact" w:hSpace="181" w:vSpace="181" w:wrap="around" w:hAnchor="page" w:x="1305" w:y="2269"/>
        <w:rPr>
          <w:rFonts w:ascii="Times New Roman"/>
        </w:rPr>
      </w:pPr>
      <w:bookmarkStart w:id="0" w:name="_Hlk26473981"/>
      <w:r>
        <w:rPr>
          <w:rFonts w:ascii="Times New Roman"/>
        </w:rPr>
        <w:t>中华人民共和国国家标准</w:t>
      </w:r>
    </w:p>
    <w:bookmarkEnd w:id="0"/>
    <w:p w14:paraId="4178AC42">
      <w:pPr>
        <w:pStyle w:val="197"/>
        <w:rPr>
          <w:rFonts w:ascii="Times New Roman"/>
          <w:lang w:val="fr-FR"/>
        </w:rPr>
      </w:pPr>
      <w:r>
        <w:rPr>
          <w:rFonts w:ascii="Times New Roman"/>
        </w:rPr>
        <w:t>GB/T</w:t>
      </w:r>
      <w:r>
        <w:rPr>
          <w:rFonts w:ascii="Times New Roman"/>
          <w:lang w:val="fr-FR"/>
        </w:rPr>
        <w:t xml:space="preserve"> </w:t>
      </w:r>
      <w:r>
        <w:rPr>
          <w:rFonts w:ascii="Times New Roman"/>
        </w:rPr>
        <w:fldChar w:fldCharType="begin">
          <w:ffData>
            <w:name w:val="NSTD_CODE_F"/>
            <w:enabled/>
            <w:calcOnExit w:val="0"/>
            <w:textInput>
              <w:default w:val="XXXXX"/>
            </w:textInput>
          </w:ffData>
        </w:fldChar>
      </w:r>
      <w:bookmarkStart w:id="1" w:name="NSTD_CODE_F"/>
      <w:r>
        <w:rPr>
          <w:rFonts w:ascii="Times New Roman"/>
          <w:lang w:val="fr-FR"/>
        </w:rPr>
        <w:instrText xml:space="preserve"> FORMTEXT </w:instrText>
      </w:r>
      <w:r>
        <w:rPr>
          <w:rFonts w:ascii="Times New Roman"/>
        </w:rPr>
        <w:fldChar w:fldCharType="separate"/>
      </w:r>
      <w:r>
        <w:rPr>
          <w:rFonts w:ascii="Times New Roman"/>
          <w:lang w:val="fr-FR"/>
        </w:rPr>
        <w:t>XXXXX</w:t>
      </w:r>
      <w:r>
        <w:rPr>
          <w:rFonts w:ascii="Times New Roman"/>
        </w:rPr>
        <w:fldChar w:fldCharType="end"/>
      </w:r>
      <w:bookmarkEnd w:id="1"/>
      <w:r>
        <w:rPr>
          <w:rFonts w:ascii="Times New Roman"/>
          <w:lang w:val="fr-FR"/>
        </w:rPr>
        <w:t>—</w:t>
      </w:r>
      <w:r>
        <w:rPr>
          <w:rFonts w:ascii="Times New Roman"/>
        </w:rPr>
        <w:fldChar w:fldCharType="begin">
          <w:ffData>
            <w:name w:val="NSTD_CODE_B"/>
            <w:enabled/>
            <w:calcOnExit w:val="0"/>
            <w:textInput>
              <w:default w:val="XXXX"/>
            </w:textInput>
          </w:ffData>
        </w:fldChar>
      </w:r>
      <w:bookmarkStart w:id="2" w:name="NSTD_CODE_B"/>
      <w:r>
        <w:rPr>
          <w:rFonts w:ascii="Times New Roman"/>
          <w:lang w:val="fr-FR"/>
        </w:rPr>
        <w:instrText xml:space="preserve"> FORMTEXT </w:instrText>
      </w:r>
      <w:r>
        <w:rPr>
          <w:rFonts w:ascii="Times New Roman"/>
        </w:rPr>
        <w:fldChar w:fldCharType="separate"/>
      </w:r>
      <w:r>
        <w:rPr>
          <w:rFonts w:ascii="Times New Roman"/>
          <w:lang w:val="fr-FR"/>
        </w:rPr>
        <w:t>XXXX</w:t>
      </w:r>
      <w:r>
        <w:rPr>
          <w:rFonts w:ascii="Times New Roman"/>
        </w:rPr>
        <w:fldChar w:fldCharType="end"/>
      </w:r>
      <w:bookmarkEnd w:id="2"/>
      <w:r>
        <w:rPr>
          <w:rFonts w:ascii="Times New Roman"/>
        </w:rPr>
        <w:t>/ISO 22342</w:t>
      </w:r>
      <w:r>
        <w:rPr>
          <w:rFonts w:hint="eastAsia" w:ascii="Times New Roman"/>
        </w:rPr>
        <w:t>：2</w:t>
      </w:r>
      <w:r>
        <w:rPr>
          <w:rFonts w:ascii="Times New Roman"/>
        </w:rPr>
        <w:t>023</w:t>
      </w:r>
    </w:p>
    <w:p w14:paraId="7329AE33">
      <w:pPr>
        <w:spacing w:line="240" w:lineRule="auto"/>
        <w:ind w:left="8080"/>
        <w:rPr>
          <w:rFonts w:ascii="Times New Roman" w:hAnsi="Times New Roman" w:eastAsia="黑体"/>
          <w:kern w:val="0"/>
          <w:sz w:val="52"/>
          <w:szCs w:val="20"/>
        </w:rPr>
      </w:pPr>
      <w:r>
        <w:rPr>
          <w:rFonts w:ascii="Times New Roman" w:hAnsi="Times New Roman" w:eastAsia="黑体"/>
          <w:kern w:val="0"/>
          <w:sz w:val="52"/>
          <w:szCs w:val="20"/>
        </w:rPr>
        <mc:AlternateContent>
          <mc:Choice Requires="wps">
            <w:drawing>
              <wp:anchor distT="0" distB="0" distL="114300" distR="114300" simplePos="0" relativeHeight="251660288"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60288;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r>
        <w:rPr>
          <w:rFonts w:ascii="Times New Roman" w:hAnsi="Times New Roman" w:eastAsia="黑体"/>
          <w:kern w:val="0"/>
          <w:sz w:val="52"/>
          <w:szCs w:val="20"/>
        </w:rPr>
        <w:drawing>
          <wp:anchor distT="0" distB="0" distL="114300" distR="114300" simplePos="0" relativeHeight="251659264" behindDoc="0" locked="0" layoutInCell="1" allowOverlap="0">
            <wp:simplePos x="0" y="0"/>
            <wp:positionH relativeFrom="page">
              <wp:posOffset>5004435</wp:posOffset>
            </wp:positionH>
            <wp:positionV relativeFrom="page">
              <wp:posOffset>466725</wp:posOffset>
            </wp:positionV>
            <wp:extent cx="1447165" cy="732790"/>
            <wp:effectExtent l="0" t="0" r="635" b="0"/>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1447200" cy="732960"/>
                    </a:xfrm>
                    <a:prstGeom prst="rect">
                      <a:avLst/>
                    </a:prstGeom>
                    <a:noFill/>
                    <a:ln>
                      <a:noFill/>
                    </a:ln>
                  </pic:spPr>
                </pic:pic>
              </a:graphicData>
            </a:graphic>
          </wp:anchor>
        </w:drawing>
      </w:r>
    </w:p>
    <w:p w14:paraId="11235F7B">
      <w:pPr>
        <w:pStyle w:val="52"/>
        <w:framePr w:w="9639" w:h="6976" w:hRule="exact" w:hSpace="0" w:vSpace="0" w:wrap="around" w:hAnchor="page" w:y="6408"/>
        <w:jc w:val="center"/>
        <w:rPr>
          <w:rFonts w:ascii="Times New Roman" w:eastAsia="黑体"/>
          <w:b w:val="0"/>
          <w:bCs w:val="0"/>
          <w:w w:val="100"/>
        </w:rPr>
      </w:pPr>
    </w:p>
    <w:p w14:paraId="4E6CB7D8">
      <w:pPr>
        <w:pStyle w:val="199"/>
        <w:framePr w:h="6974" w:hRule="exact" w:wrap="around" w:x="1419" w:anchorLock="1"/>
        <w:rPr>
          <w:rFonts w:ascii="Times New Roman" w:hAnsi="Times New Roman"/>
        </w:rPr>
      </w:pPr>
      <w:r>
        <w:rPr>
          <w:rFonts w:ascii="Times New Roman" w:hAnsi="Times New Roman"/>
        </w:rPr>
        <w:t>安全与韧性 防护安全 为组织建立安全</w:t>
      </w:r>
      <w:r>
        <w:rPr>
          <w:rFonts w:hint="eastAsia" w:ascii="Times New Roman" w:hAnsi="Times New Roman"/>
        </w:rPr>
        <w:t>计</w:t>
      </w:r>
      <w:r>
        <w:rPr>
          <w:rFonts w:ascii="Times New Roman" w:hAnsi="Times New Roman"/>
        </w:rPr>
        <w:t>划指南</w:t>
      </w:r>
    </w:p>
    <w:p w14:paraId="36EC0A22">
      <w:pPr>
        <w:framePr w:w="9639" w:h="6974" w:hRule="exact" w:wrap="around" w:vAnchor="page" w:hAnchor="page" w:x="1419" w:y="6408" w:anchorLock="1"/>
        <w:ind w:left="-1418"/>
        <w:rPr>
          <w:rFonts w:ascii="Times New Roman" w:hAnsi="Times New Roman"/>
        </w:rPr>
      </w:pPr>
    </w:p>
    <w:p w14:paraId="5FD017BC">
      <w:pPr>
        <w:pStyle w:val="127"/>
        <w:framePr w:w="9639" w:h="6974" w:hRule="exact" w:wrap="around" w:vAnchor="page" w:hAnchor="page" w:x="1419" w:y="6408" w:anchorLock="1"/>
        <w:textAlignment w:val="bottom"/>
        <w:rPr>
          <w:rFonts w:eastAsia="黑体"/>
          <w:szCs w:val="28"/>
        </w:rPr>
      </w:pPr>
      <w:r>
        <w:rPr>
          <w:rFonts w:eastAsia="黑体"/>
          <w:szCs w:val="28"/>
        </w:rPr>
        <w:t>Security and resilience —Protective security —Guidelines for the</w:t>
      </w:r>
    </w:p>
    <w:p w14:paraId="77DB96F4">
      <w:pPr>
        <w:pStyle w:val="127"/>
        <w:framePr w:w="9639" w:h="6974" w:hRule="exact" w:wrap="around" w:vAnchor="page" w:hAnchor="page" w:x="1419" w:y="6408" w:anchorLock="1"/>
        <w:textAlignment w:val="bottom"/>
        <w:rPr>
          <w:rFonts w:eastAsia="黑体"/>
          <w:szCs w:val="28"/>
        </w:rPr>
      </w:pPr>
      <w:r>
        <w:rPr>
          <w:rFonts w:eastAsia="黑体"/>
          <w:szCs w:val="28"/>
        </w:rPr>
        <w:t>development of a security plan for an organization</w:t>
      </w:r>
    </w:p>
    <w:p w14:paraId="177E7C6B">
      <w:pPr>
        <w:framePr w:w="9639" w:h="6974" w:hRule="exact" w:wrap="around" w:vAnchor="page" w:hAnchor="page" w:x="1419" w:y="6408" w:anchorLock="1"/>
        <w:spacing w:line="760" w:lineRule="exact"/>
        <w:ind w:left="-1418"/>
        <w:rPr>
          <w:rFonts w:ascii="Times New Roman" w:hAnsi="Times New Roman"/>
        </w:rPr>
      </w:pPr>
    </w:p>
    <w:p w14:paraId="04A8FC57">
      <w:pPr>
        <w:pStyle w:val="127"/>
        <w:framePr w:w="9639" w:h="6974" w:hRule="exact" w:wrap="around" w:vAnchor="page" w:hAnchor="page" w:x="1419" w:y="6408" w:anchorLock="1"/>
        <w:textAlignment w:val="bottom"/>
        <w:rPr>
          <w:rFonts w:eastAsia="黑体"/>
          <w:szCs w:val="28"/>
        </w:rPr>
      </w:pPr>
      <w:r>
        <w:rPr>
          <w:szCs w:val="28"/>
        </w:rPr>
        <w:t>（</w:t>
      </w:r>
      <w:r>
        <w:rPr>
          <w:rFonts w:eastAsia="黑体"/>
          <w:szCs w:val="28"/>
        </w:rPr>
        <w:t>ISO 22342</w:t>
      </w:r>
      <w:r>
        <w:rPr>
          <w:rFonts w:hint="eastAsia" w:eastAsia="黑体"/>
          <w:szCs w:val="28"/>
        </w:rPr>
        <w:t>：</w:t>
      </w:r>
      <w:r>
        <w:rPr>
          <w:rFonts w:eastAsia="黑体"/>
          <w:szCs w:val="28"/>
        </w:rPr>
        <w:t>2023，</w:t>
      </w:r>
      <w:r>
        <w:rPr>
          <w:rFonts w:hint="eastAsia" w:eastAsia="黑体"/>
          <w:szCs w:val="28"/>
        </w:rPr>
        <w:t>IDT</w:t>
      </w:r>
      <w:r>
        <w:rPr>
          <w:szCs w:val="28"/>
        </w:rPr>
        <w:t>）</w:t>
      </w:r>
    </w:p>
    <w:p w14:paraId="4B626B70">
      <w:pPr>
        <w:pStyle w:val="127"/>
        <w:framePr w:w="9639" w:h="6974" w:hRule="exact" w:wrap="around" w:vAnchor="page" w:hAnchor="page" w:x="1419" w:y="6408" w:anchorLock="1"/>
        <w:spacing w:before="440" w:after="160"/>
        <w:textAlignment w:val="bottom"/>
        <w:rPr>
          <w:sz w:val="24"/>
          <w:szCs w:val="28"/>
        </w:rPr>
      </w:pPr>
      <w:r>
        <w:rPr>
          <w:sz w:val="24"/>
          <w:szCs w:val="28"/>
        </w:rPr>
        <w:t>（</w:t>
      </w:r>
      <w:r>
        <w:rPr>
          <w:rFonts w:hint="eastAsia"/>
          <w:sz w:val="24"/>
          <w:szCs w:val="28"/>
        </w:rPr>
        <w:t>征求意见</w:t>
      </w:r>
      <w:r>
        <w:rPr>
          <w:sz w:val="24"/>
          <w:szCs w:val="28"/>
        </w:rPr>
        <w:t>稿）</w:t>
      </w:r>
    </w:p>
    <w:p w14:paraId="19131BBC">
      <w:pPr>
        <w:pStyle w:val="127"/>
        <w:framePr w:w="9639" w:h="6974" w:hRule="exact" w:wrap="around" w:vAnchor="page" w:hAnchor="page" w:x="1419" w:y="6408" w:anchorLock="1"/>
        <w:spacing w:before="180" w:line="240" w:lineRule="atLeast"/>
        <w:textAlignment w:val="bottom"/>
        <w:rPr>
          <w:sz w:val="21"/>
          <w:szCs w:val="28"/>
        </w:rPr>
      </w:pPr>
    </w:p>
    <w:p w14:paraId="2B6B2A56">
      <w:pPr>
        <w:pStyle w:val="127"/>
        <w:framePr w:w="9639" w:h="6974" w:hRule="exact" w:wrap="around" w:vAnchor="page" w:hAnchor="page" w:x="1419" w:y="6408" w:anchorLock="1"/>
        <w:spacing w:before="720" w:beforeLines="300" w:after="72" w:afterLines="30" w:line="240" w:lineRule="auto"/>
        <w:textAlignment w:val="bottom"/>
        <w:rPr>
          <w:b/>
          <w:sz w:val="21"/>
          <w:szCs w:val="28"/>
        </w:rPr>
      </w:pPr>
    </w:p>
    <w:p w14:paraId="38A2EBD3">
      <w:pPr>
        <w:pStyle w:val="195"/>
        <w:framePr w:wrap="around" w:y="14176"/>
      </w:pPr>
      <w:r>
        <w:fldChar w:fldCharType="begin">
          <w:ffData>
            <w:name w:val="PLSH_DATE_Y"/>
            <w:enabled/>
            <w:calcOnExit w:val="0"/>
            <w:textInput>
              <w:default w:val="XXXX"/>
              <w:maxLength w:val="4"/>
            </w:textInput>
          </w:ffData>
        </w:fldChar>
      </w:r>
      <w:bookmarkStart w:id="3" w:name="PLSH_DATE_Y"/>
      <w:r>
        <w:instrText xml:space="preserve"> FORMTEXT </w:instrText>
      </w:r>
      <w:r>
        <w:fldChar w:fldCharType="separate"/>
      </w:r>
      <w:r>
        <w:t>XXXX</w:t>
      </w:r>
      <w:r>
        <w:fldChar w:fldCharType="end"/>
      </w:r>
      <w:bookmarkEnd w:id="3"/>
      <w:r>
        <w:t xml:space="preserve"> - </w:t>
      </w:r>
      <w:r>
        <w:fldChar w:fldCharType="begin">
          <w:ffData>
            <w:name w:val="PLSH_DATE_M"/>
            <w:enabled/>
            <w:calcOnExit w:val="0"/>
            <w:textInput>
              <w:default w:val="XX"/>
              <w:maxLength w:val="2"/>
            </w:textInput>
          </w:ffData>
        </w:fldChar>
      </w:r>
      <w:bookmarkStart w:id="4" w:name="PLSH_DATE_M"/>
      <w:r>
        <w:instrText xml:space="preserve"> FORMTEXT </w:instrText>
      </w:r>
      <w:r>
        <w:fldChar w:fldCharType="separate"/>
      </w:r>
      <w:r>
        <w:t>XX</w:t>
      </w:r>
      <w:r>
        <w:fldChar w:fldCharType="end"/>
      </w:r>
      <w:bookmarkEnd w:id="4"/>
      <w:r>
        <w:t xml:space="preserve"> - </w:t>
      </w:r>
      <w:r>
        <w:fldChar w:fldCharType="begin">
          <w:ffData>
            <w:name w:val="PLSH_DATE_D"/>
            <w:enabled/>
            <w:calcOnExit w:val="0"/>
            <w:textInput>
              <w:default w:val="XX"/>
              <w:maxLength w:val="2"/>
            </w:textInput>
          </w:ffData>
        </w:fldChar>
      </w:r>
      <w:bookmarkStart w:id="5" w:name="PLSH_DATE_D"/>
      <w:r>
        <w:instrText xml:space="preserve"> FORMTEXT </w:instrText>
      </w:r>
      <w:r>
        <w:fldChar w:fldCharType="separate"/>
      </w:r>
      <w:r>
        <w:t>XX</w:t>
      </w:r>
      <w:r>
        <w:fldChar w:fldCharType="end"/>
      </w:r>
      <w:bookmarkEnd w:id="5"/>
      <w:r>
        <w:t>发布</w:t>
      </w:r>
    </w:p>
    <w:p w14:paraId="08F58D39">
      <w:pPr>
        <w:pStyle w:val="196"/>
        <w:framePr w:wrap="around" w:y="14176"/>
      </w:pPr>
      <w:r>
        <w:fldChar w:fldCharType="begin">
          <w:ffData>
            <w:name w:val="CROT_DATE_Y"/>
            <w:enabled/>
            <w:calcOnExit w:val="0"/>
            <w:textInput>
              <w:default w:val="XXXX"/>
              <w:maxLength w:val="4"/>
            </w:textInput>
          </w:ffData>
        </w:fldChar>
      </w:r>
      <w:bookmarkStart w:id="6" w:name="CROT_DATE_Y"/>
      <w:r>
        <w:instrText xml:space="preserve"> FORMTEXT </w:instrText>
      </w:r>
      <w:r>
        <w:fldChar w:fldCharType="separate"/>
      </w:r>
      <w:r>
        <w:t>XXXX</w:t>
      </w:r>
      <w:r>
        <w:fldChar w:fldCharType="end"/>
      </w:r>
      <w:bookmarkEnd w:id="6"/>
      <w:r>
        <w:t xml:space="preserve"> - </w:t>
      </w:r>
      <w:r>
        <w:fldChar w:fldCharType="begin">
          <w:ffData>
            <w:name w:val="CROT_DATE_M"/>
            <w:enabled/>
            <w:calcOnExit w:val="0"/>
            <w:textInput>
              <w:default w:val="XX"/>
              <w:maxLength w:val="2"/>
            </w:textInput>
          </w:ffData>
        </w:fldChar>
      </w:r>
      <w:bookmarkStart w:id="7" w:name="CROT_DATE_M"/>
      <w:r>
        <w:instrText xml:space="preserve"> FORMTEXT </w:instrText>
      </w:r>
      <w:r>
        <w:fldChar w:fldCharType="separate"/>
      </w:r>
      <w:r>
        <w:t>XX</w:t>
      </w:r>
      <w:r>
        <w:fldChar w:fldCharType="end"/>
      </w:r>
      <w:bookmarkEnd w:id="7"/>
      <w:r>
        <w:t xml:space="preserve"> - </w:t>
      </w:r>
      <w:r>
        <w:fldChar w:fldCharType="begin">
          <w:ffData>
            <w:name w:val="CROT_DATE_D"/>
            <w:enabled/>
            <w:calcOnExit w:val="0"/>
            <w:textInput>
              <w:default w:val="XX"/>
              <w:maxLength w:val="2"/>
            </w:textInput>
          </w:ffData>
        </w:fldChar>
      </w:r>
      <w:bookmarkStart w:id="8" w:name="CROT_DATE_D"/>
      <w:r>
        <w:instrText xml:space="preserve"> FORMTEXT </w:instrText>
      </w:r>
      <w:r>
        <w:fldChar w:fldCharType="separate"/>
      </w:r>
      <w:r>
        <w:t>XX</w:t>
      </w:r>
      <w:r>
        <w:fldChar w:fldCharType="end"/>
      </w:r>
      <w:bookmarkEnd w:id="8"/>
      <w:r>
        <w:t>实施</w:t>
      </w:r>
    </w:p>
    <w:p w14:paraId="1AA60018">
      <w:pPr>
        <w:rPr>
          <w:rFonts w:ascii="Times New Roman" w:hAnsi="Times New Roman"/>
          <w:sz w:val="28"/>
          <w:szCs w:val="28"/>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338" w:right="1134" w:bottom="1021" w:left="1134" w:header="0" w:footer="0" w:gutter="284"/>
          <w:cols w:space="425" w:num="1"/>
          <w:titlePg/>
          <w:docGrid w:linePitch="312" w:charSpace="0"/>
        </w:sectPr>
      </w:pPr>
      <w:r>
        <w:rPr>
          <w:rFonts w:ascii="Times New Roman" w:hAnsi="Times New Roman"/>
          <w:sz w:val="28"/>
          <w:szCs w:val="28"/>
        </w:rPr>
        <w:drawing>
          <wp:anchor distT="0" distB="0" distL="114300" distR="114300" simplePos="0" relativeHeight="251662336" behindDoc="0" locked="0" layoutInCell="1" allowOverlap="1">
            <wp:simplePos x="0" y="0"/>
            <wp:positionH relativeFrom="column">
              <wp:posOffset>1610360</wp:posOffset>
            </wp:positionH>
            <wp:positionV relativeFrom="paragraph">
              <wp:posOffset>8281035</wp:posOffset>
            </wp:positionV>
            <wp:extent cx="2868930" cy="545465"/>
            <wp:effectExtent l="0" t="0" r="0" b="7620"/>
            <wp:wrapNone/>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868840" cy="545400"/>
                    </a:xfrm>
                    <a:prstGeom prst="rect">
                      <a:avLst/>
                    </a:prstGeom>
                  </pic:spPr>
                </pic:pic>
              </a:graphicData>
            </a:graphic>
          </wp:anchor>
        </w:drawing>
      </w:r>
      <w:r>
        <w:rPr>
          <w:rFonts w:ascii="Times New Roman" w:hAnsi="Times New Roman"/>
          <w:sz w:val="28"/>
          <w:szCs w:val="28"/>
        </w:rPr>
        <mc:AlternateContent>
          <mc:Choice Requires="wps">
            <w:drawing>
              <wp:anchor distT="0" distB="0" distL="114300" distR="114300" simplePos="0" relativeHeight="251661312"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1312;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r>
        <w:rPr>
          <w:rFonts w:ascii="Times New Roman" w:hAnsi="Times New Roman"/>
          <w:sz w:val="28"/>
          <w:szCs w:val="28"/>
        </w:rPr>
        <w:t>`</w:t>
      </w:r>
    </w:p>
    <w:p w14:paraId="654488FD">
      <w:pPr>
        <w:pStyle w:val="93"/>
        <w:spacing w:after="468"/>
      </w:pPr>
      <w:bookmarkStart w:id="9" w:name="BookMark1"/>
      <w:bookmarkStart w:id="10" w:name="_Toc169881568"/>
      <w:bookmarkStart w:id="11" w:name="_Toc219206733"/>
      <w:bookmarkStart w:id="12" w:name="_Toc219211589"/>
      <w:bookmarkStart w:id="13" w:name="_Toc169876098"/>
      <w:bookmarkStart w:id="14" w:name="_Toc219898303"/>
      <w:bookmarkStart w:id="15" w:name="_Toc169516085"/>
      <w:bookmarkStart w:id="16" w:name="_Toc169876085"/>
      <w:r>
        <w:rPr>
          <w:rFonts w:hint="eastAsia"/>
          <w:spacing w:val="320"/>
        </w:rPr>
        <w:t>目</w:t>
      </w:r>
      <w:r>
        <w:rPr>
          <w:rFonts w:hint="eastAsia"/>
        </w:rPr>
        <w:t>次</w:t>
      </w:r>
    </w:p>
    <w:p w14:paraId="7110DBDD">
      <w:pPr>
        <w:pStyle w:val="20"/>
        <w:tabs>
          <w:tab w:val="right" w:leader="dot" w:pos="9344"/>
        </w:tabs>
        <w:rPr>
          <w:rFonts w:asciiTheme="minorHAnsi" w:hAnsiTheme="minorHAnsi" w:eastAsiaTheme="minorEastAsia" w:cstheme="minorBidi"/>
          <w:szCs w:val="22"/>
        </w:rPr>
      </w:pPr>
      <w:r>
        <w:fldChar w:fldCharType="begin"/>
      </w:r>
      <w:r>
        <w:instrText xml:space="preserve"> TOC \o "1-1" \h \t "标准文件_一级条标题,2,标准文件_二级条标题,3,标准文件_附录一级条标题,2,标准文件_附录二级条标题,3," </w:instrText>
      </w:r>
      <w:r>
        <w:fldChar w:fldCharType="separate"/>
      </w:r>
      <w:r>
        <w:rPr>
          <w:rStyle w:val="34"/>
        </w:rPr>
        <w:fldChar w:fldCharType="begin"/>
      </w:r>
      <w:r>
        <w:rPr>
          <w:rStyle w:val="34"/>
        </w:rPr>
        <w:instrText xml:space="preserve"> </w:instrText>
      </w:r>
      <w:r>
        <w:instrText xml:space="preserve">HYPERLINK \l "_Toc220079896"</w:instrText>
      </w:r>
      <w:r>
        <w:rPr>
          <w:rStyle w:val="34"/>
        </w:rPr>
        <w:instrText xml:space="preserve"> </w:instrText>
      </w:r>
      <w:r>
        <w:rPr>
          <w:rStyle w:val="34"/>
        </w:rPr>
        <w:fldChar w:fldCharType="separate"/>
      </w:r>
      <w:r>
        <w:rPr>
          <w:rStyle w:val="34"/>
          <w:rFonts w:hint="eastAsia" w:ascii="Times New Roman"/>
          <w:spacing w:val="0"/>
        </w:rPr>
        <w:t>前</w:t>
      </w:r>
      <w:r>
        <w:rPr>
          <w:rStyle w:val="34"/>
          <w:rFonts w:hint="eastAsia" w:ascii="Times New Roman"/>
        </w:rPr>
        <w:t>言</w:t>
      </w:r>
      <w:r>
        <w:tab/>
      </w:r>
      <w:r>
        <w:fldChar w:fldCharType="begin"/>
      </w:r>
      <w:r>
        <w:instrText xml:space="preserve"> PAGEREF _Toc220079896 \h </w:instrText>
      </w:r>
      <w:r>
        <w:fldChar w:fldCharType="separate"/>
      </w:r>
      <w:r>
        <w:t>III</w:t>
      </w:r>
      <w:r>
        <w:fldChar w:fldCharType="end"/>
      </w:r>
      <w:r>
        <w:rPr>
          <w:rStyle w:val="34"/>
        </w:rPr>
        <w:fldChar w:fldCharType="end"/>
      </w:r>
    </w:p>
    <w:p w14:paraId="158FF398">
      <w:pPr>
        <w:pStyle w:val="20"/>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"_Toc220079897"</w:instrText>
      </w:r>
      <w:r>
        <w:rPr>
          <w:rStyle w:val="34"/>
        </w:rPr>
        <w:instrText xml:space="preserve"> </w:instrText>
      </w:r>
      <w:r>
        <w:rPr>
          <w:rStyle w:val="34"/>
        </w:rPr>
        <w:fldChar w:fldCharType="separate"/>
      </w:r>
      <w:r>
        <w:rPr>
          <w:rStyle w:val="34"/>
          <w:rFonts w:hint="eastAsia" w:ascii="Times New Roman"/>
          <w:spacing w:val="0"/>
        </w:rPr>
        <w:t>引</w:t>
      </w:r>
      <w:r>
        <w:rPr>
          <w:rStyle w:val="34"/>
          <w:rFonts w:hint="eastAsia" w:ascii="Times New Roman"/>
        </w:rPr>
        <w:t>言</w:t>
      </w:r>
      <w:r>
        <w:tab/>
      </w:r>
      <w:r>
        <w:fldChar w:fldCharType="begin"/>
      </w:r>
      <w:r>
        <w:instrText xml:space="preserve"> PAGEREF _Toc220079897 \h </w:instrText>
      </w:r>
      <w:r>
        <w:fldChar w:fldCharType="separate"/>
      </w:r>
      <w:r>
        <w:t>IV</w:t>
      </w:r>
      <w:r>
        <w:fldChar w:fldCharType="end"/>
      </w:r>
      <w:r>
        <w:rPr>
          <w:rStyle w:val="34"/>
        </w:rPr>
        <w:fldChar w:fldCharType="end"/>
      </w:r>
    </w:p>
    <w:p w14:paraId="148B1711">
      <w:pPr>
        <w:pStyle w:val="20"/>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"_Toc220079898"</w:instrText>
      </w:r>
      <w:r>
        <w:rPr>
          <w:rStyle w:val="34"/>
        </w:rPr>
        <w:instrText xml:space="preserve"> </w:instrText>
      </w:r>
      <w:r>
        <w:rPr>
          <w:rStyle w:val="34"/>
        </w:rPr>
        <w:fldChar w:fldCharType="separate"/>
      </w:r>
      <w:r>
        <w:rPr>
          <w:rStyle w:val="34"/>
        </w:rPr>
        <w:t xml:space="preserve">1 </w:t>
      </w:r>
      <w:r>
        <w:rPr>
          <w:rStyle w:val="34"/>
          <w:rFonts w:hint="eastAsia" w:ascii="Times New Roman"/>
        </w:rPr>
        <w:t xml:space="preserve"> 范围</w:t>
      </w:r>
      <w:r>
        <w:tab/>
      </w:r>
      <w:r>
        <w:fldChar w:fldCharType="begin"/>
      </w:r>
      <w:r>
        <w:instrText xml:space="preserve"> PAGEREF _Toc220079898 \h </w:instrText>
      </w:r>
      <w:r>
        <w:fldChar w:fldCharType="separate"/>
      </w:r>
      <w:r>
        <w:t>5</w:t>
      </w:r>
      <w:r>
        <w:fldChar w:fldCharType="end"/>
      </w:r>
      <w:r>
        <w:rPr>
          <w:rStyle w:val="34"/>
        </w:rPr>
        <w:fldChar w:fldCharType="end"/>
      </w:r>
    </w:p>
    <w:p w14:paraId="54BCCFAA">
      <w:pPr>
        <w:pStyle w:val="20"/>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"_Toc220079899"</w:instrText>
      </w:r>
      <w:r>
        <w:rPr>
          <w:rStyle w:val="34"/>
        </w:rPr>
        <w:instrText xml:space="preserve"> </w:instrText>
      </w:r>
      <w:r>
        <w:rPr>
          <w:rStyle w:val="34"/>
        </w:rPr>
        <w:fldChar w:fldCharType="separate"/>
      </w:r>
      <w:r>
        <w:rPr>
          <w:rStyle w:val="34"/>
        </w:rPr>
        <w:t xml:space="preserve">2 </w:t>
      </w:r>
      <w:r>
        <w:rPr>
          <w:rStyle w:val="34"/>
          <w:rFonts w:hint="eastAsia" w:ascii="Times New Roman"/>
        </w:rPr>
        <w:t xml:space="preserve"> 规范性引用文件</w:t>
      </w:r>
      <w:r>
        <w:tab/>
      </w:r>
      <w:r>
        <w:fldChar w:fldCharType="begin"/>
      </w:r>
      <w:r>
        <w:instrText xml:space="preserve"> PAGEREF _Toc220079899 \h </w:instrText>
      </w:r>
      <w:r>
        <w:fldChar w:fldCharType="separate"/>
      </w:r>
      <w:r>
        <w:t>5</w:t>
      </w:r>
      <w:r>
        <w:fldChar w:fldCharType="end"/>
      </w:r>
      <w:r>
        <w:rPr>
          <w:rStyle w:val="34"/>
        </w:rPr>
        <w:fldChar w:fldCharType="end"/>
      </w:r>
    </w:p>
    <w:p w14:paraId="222CD411">
      <w:pPr>
        <w:pStyle w:val="20"/>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"_Toc220079900"</w:instrText>
      </w:r>
      <w:r>
        <w:rPr>
          <w:rStyle w:val="34"/>
        </w:rPr>
        <w:instrText xml:space="preserve"> </w:instrText>
      </w:r>
      <w:r>
        <w:rPr>
          <w:rStyle w:val="34"/>
        </w:rPr>
        <w:fldChar w:fldCharType="separate"/>
      </w:r>
      <w:r>
        <w:rPr>
          <w:rStyle w:val="34"/>
        </w:rPr>
        <w:t xml:space="preserve">3 </w:t>
      </w:r>
      <w:r>
        <w:rPr>
          <w:rStyle w:val="34"/>
          <w:rFonts w:hint="eastAsia" w:ascii="Times New Roman"/>
        </w:rPr>
        <w:t xml:space="preserve"> 术语和定义</w:t>
      </w:r>
      <w:r>
        <w:tab/>
      </w:r>
      <w:r>
        <w:fldChar w:fldCharType="begin"/>
      </w:r>
      <w:r>
        <w:instrText xml:space="preserve"> PAGEREF _Toc220079900 \h </w:instrText>
      </w:r>
      <w:r>
        <w:fldChar w:fldCharType="separate"/>
      </w:r>
      <w:r>
        <w:t>5</w:t>
      </w:r>
      <w:r>
        <w:fldChar w:fldCharType="end"/>
      </w:r>
      <w:r>
        <w:rPr>
          <w:rStyle w:val="34"/>
        </w:rPr>
        <w:fldChar w:fldCharType="end"/>
      </w:r>
    </w:p>
    <w:p w14:paraId="790ED4F9">
      <w:pPr>
        <w:pStyle w:val="20"/>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"_Toc220079901"</w:instrText>
      </w:r>
      <w:r>
        <w:rPr>
          <w:rStyle w:val="34"/>
        </w:rPr>
        <w:instrText xml:space="preserve"> </w:instrText>
      </w:r>
      <w:r>
        <w:rPr>
          <w:rStyle w:val="34"/>
        </w:rPr>
        <w:fldChar w:fldCharType="separate"/>
      </w:r>
      <w:r>
        <w:rPr>
          <w:rStyle w:val="34"/>
        </w:rPr>
        <w:t xml:space="preserve">4 </w:t>
      </w:r>
      <w:r>
        <w:rPr>
          <w:rStyle w:val="34"/>
          <w:rFonts w:hint="eastAsia" w:ascii="Times New Roman"/>
        </w:rPr>
        <w:t xml:space="preserve"> 安全计划</w:t>
      </w:r>
      <w:r>
        <w:tab/>
      </w:r>
      <w:r>
        <w:fldChar w:fldCharType="begin"/>
      </w:r>
      <w:r>
        <w:instrText xml:space="preserve"> PAGEREF _Toc220079901 \h </w:instrText>
      </w:r>
      <w:r>
        <w:fldChar w:fldCharType="separate"/>
      </w:r>
      <w:r>
        <w:t>5</w:t>
      </w:r>
      <w:r>
        <w:fldChar w:fldCharType="end"/>
      </w:r>
      <w:r>
        <w:rPr>
          <w:rStyle w:val="34"/>
        </w:rPr>
        <w:fldChar w:fldCharType="end"/>
      </w:r>
    </w:p>
    <w:p w14:paraId="25F80567">
      <w:pPr>
        <w:pStyle w:val="20"/>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"_Toc220079902"</w:instrText>
      </w:r>
      <w:r>
        <w:rPr>
          <w:rStyle w:val="34"/>
        </w:rPr>
        <w:instrText xml:space="preserve"> </w:instrText>
      </w:r>
      <w:r>
        <w:rPr>
          <w:rStyle w:val="34"/>
        </w:rPr>
        <w:fldChar w:fldCharType="separate"/>
      </w:r>
      <w:r>
        <w:rPr>
          <w:rStyle w:val="34"/>
        </w:rPr>
        <w:t xml:space="preserve">5 </w:t>
      </w:r>
      <w:r>
        <w:rPr>
          <w:rStyle w:val="34"/>
          <w:rFonts w:hint="eastAsia" w:ascii="Times New Roman"/>
        </w:rPr>
        <w:t xml:space="preserve"> 安全计划的组成</w:t>
      </w:r>
      <w:r>
        <w:tab/>
      </w:r>
      <w:r>
        <w:fldChar w:fldCharType="begin"/>
      </w:r>
      <w:r>
        <w:instrText xml:space="preserve"> PAGEREF _Toc220079902 \h </w:instrText>
      </w:r>
      <w:r>
        <w:fldChar w:fldCharType="separate"/>
      </w:r>
      <w:r>
        <w:t>6</w:t>
      </w:r>
      <w:r>
        <w:fldChar w:fldCharType="end"/>
      </w:r>
      <w:r>
        <w:rPr>
          <w:rStyle w:val="34"/>
        </w:rPr>
        <w:fldChar w:fldCharType="end"/>
      </w:r>
    </w:p>
    <w:p w14:paraId="78692013">
      <w:pPr>
        <w:pStyle w:val="25"/>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"_Toc220079903"</w:instrText>
      </w:r>
      <w:r>
        <w:rPr>
          <w:rStyle w:val="34"/>
        </w:rPr>
        <w:instrText xml:space="preserve"> </w:instrText>
      </w:r>
      <w:r>
        <w:rPr>
          <w:rStyle w:val="34"/>
        </w:rPr>
        <w:fldChar w:fldCharType="separate"/>
      </w:r>
      <w:r>
        <w:rPr>
          <w:rStyle w:val="34"/>
          <w14:scene3d>
            <w14:lightRig w14:rig="threePt" w14:dir="t">
              <w14:rot w14:lat="0" w14:lon="0" w14:rev="0"/>
            </w14:lightRig>
          </w14:scene3d>
        </w:rPr>
        <w:t xml:space="preserve">5.1 </w:t>
      </w:r>
      <w:r>
        <w:rPr>
          <w:rStyle w:val="34"/>
          <w:rFonts w:hint="eastAsia" w:ascii="Times New Roman"/>
        </w:rPr>
        <w:t xml:space="preserve"> 总则</w:t>
      </w:r>
      <w:r>
        <w:tab/>
      </w:r>
      <w:r>
        <w:fldChar w:fldCharType="begin"/>
      </w:r>
      <w:r>
        <w:instrText xml:space="preserve"> PAGEREF _Toc220079903 \h </w:instrText>
      </w:r>
      <w:r>
        <w:fldChar w:fldCharType="separate"/>
      </w:r>
      <w:r>
        <w:t>6</w:t>
      </w:r>
      <w:r>
        <w:fldChar w:fldCharType="end"/>
      </w:r>
      <w:r>
        <w:rPr>
          <w:rStyle w:val="34"/>
        </w:rPr>
        <w:fldChar w:fldCharType="end"/>
      </w:r>
    </w:p>
    <w:p w14:paraId="573E49E8">
      <w:pPr>
        <w:pStyle w:val="25"/>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"_Toc220079904"</w:instrText>
      </w:r>
      <w:r>
        <w:rPr>
          <w:rStyle w:val="34"/>
        </w:rPr>
        <w:instrText xml:space="preserve"> </w:instrText>
      </w:r>
      <w:r>
        <w:rPr>
          <w:rStyle w:val="34"/>
        </w:rPr>
        <w:fldChar w:fldCharType="separate"/>
      </w:r>
      <w:r>
        <w:rPr>
          <w:rStyle w:val="34"/>
          <w14:scene3d>
            <w14:lightRig w14:rig="threePt" w14:dir="t">
              <w14:rot w14:lat="0" w14:lon="0" w14:rev="0"/>
            </w14:lightRig>
          </w14:scene3d>
        </w:rPr>
        <w:t xml:space="preserve">5.2 </w:t>
      </w:r>
      <w:r>
        <w:rPr>
          <w:rStyle w:val="34"/>
          <w:rFonts w:hint="eastAsia" w:ascii="Times New Roman"/>
        </w:rPr>
        <w:t xml:space="preserve"> 治理</w:t>
      </w:r>
      <w:r>
        <w:tab/>
      </w:r>
      <w:r>
        <w:fldChar w:fldCharType="begin"/>
      </w:r>
      <w:r>
        <w:instrText xml:space="preserve"> PAGEREF _Toc220079904 \h </w:instrText>
      </w:r>
      <w:r>
        <w:fldChar w:fldCharType="separate"/>
      </w:r>
      <w:r>
        <w:t>6</w:t>
      </w:r>
      <w:r>
        <w:fldChar w:fldCharType="end"/>
      </w:r>
      <w:r>
        <w:rPr>
          <w:rStyle w:val="34"/>
        </w:rPr>
        <w:fldChar w:fldCharType="end"/>
      </w:r>
    </w:p>
    <w:p w14:paraId="06956CB6">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"_Toc220079905"</w:instrText>
      </w:r>
      <w:r>
        <w:rPr>
          <w:rStyle w:val="34"/>
        </w:rPr>
        <w:instrText xml:space="preserve"> </w:instrText>
      </w:r>
      <w:r>
        <w:rPr>
          <w:rStyle w:val="34"/>
        </w:rPr>
        <w:fldChar w:fldCharType="separate"/>
      </w:r>
      <w:r>
        <w:rPr>
          <w:rStyle w:val="34"/>
        </w:rPr>
        <w:t xml:space="preserve">5.2.1 </w:t>
      </w:r>
      <w:r>
        <w:rPr>
          <w:rStyle w:val="34"/>
          <w:rFonts w:hint="eastAsia" w:ascii="Times New Roman"/>
        </w:rPr>
        <w:t xml:space="preserve"> 总则</w:t>
      </w:r>
      <w:r>
        <w:tab/>
      </w:r>
      <w:r>
        <w:fldChar w:fldCharType="begin"/>
      </w:r>
      <w:r>
        <w:instrText xml:space="preserve"> PAGEREF _Toc220079905 \h </w:instrText>
      </w:r>
      <w:r>
        <w:fldChar w:fldCharType="separate"/>
      </w:r>
      <w:r>
        <w:t>6</w:t>
      </w:r>
      <w:r>
        <w:fldChar w:fldCharType="end"/>
      </w:r>
      <w:r>
        <w:rPr>
          <w:rStyle w:val="34"/>
        </w:rPr>
        <w:fldChar w:fldCharType="end"/>
      </w:r>
    </w:p>
    <w:p w14:paraId="6B2911F0">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"_Toc220079906"</w:instrText>
      </w:r>
      <w:r>
        <w:rPr>
          <w:rStyle w:val="34"/>
        </w:rPr>
        <w:instrText xml:space="preserve"> </w:instrText>
      </w:r>
      <w:r>
        <w:rPr>
          <w:rStyle w:val="34"/>
        </w:rPr>
        <w:fldChar w:fldCharType="separate"/>
      </w:r>
      <w:r>
        <w:rPr>
          <w:rStyle w:val="34"/>
        </w:rPr>
        <w:t xml:space="preserve">5.2.2 </w:t>
      </w:r>
      <w:r>
        <w:rPr>
          <w:rStyle w:val="34"/>
          <w:rFonts w:hint="eastAsia" w:ascii="Times New Roman"/>
        </w:rPr>
        <w:t xml:space="preserve"> 安全目标</w:t>
      </w:r>
      <w:r>
        <w:tab/>
      </w:r>
      <w:r>
        <w:fldChar w:fldCharType="begin"/>
      </w:r>
      <w:r>
        <w:instrText xml:space="preserve"> PAGEREF _Toc220079906 \h </w:instrText>
      </w:r>
      <w:r>
        <w:fldChar w:fldCharType="separate"/>
      </w:r>
      <w:r>
        <w:t>6</w:t>
      </w:r>
      <w:r>
        <w:fldChar w:fldCharType="end"/>
      </w:r>
      <w:r>
        <w:rPr>
          <w:rStyle w:val="34"/>
        </w:rPr>
        <w:fldChar w:fldCharType="end"/>
      </w:r>
    </w:p>
    <w:p w14:paraId="13DC1F6D">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"_Toc220079907"</w:instrText>
      </w:r>
      <w:r>
        <w:rPr>
          <w:rStyle w:val="34"/>
        </w:rPr>
        <w:instrText xml:space="preserve"> </w:instrText>
      </w:r>
      <w:r>
        <w:rPr>
          <w:rStyle w:val="34"/>
        </w:rPr>
        <w:fldChar w:fldCharType="separate"/>
      </w:r>
      <w:r>
        <w:rPr>
          <w:rStyle w:val="34"/>
        </w:rPr>
        <w:t xml:space="preserve">5.2.3 </w:t>
      </w:r>
      <w:r>
        <w:rPr>
          <w:rStyle w:val="34"/>
          <w:rFonts w:hint="eastAsia" w:ascii="Times New Roman"/>
        </w:rPr>
        <w:t xml:space="preserve"> 安全计划范围</w:t>
      </w:r>
      <w:r>
        <w:tab/>
      </w:r>
      <w:r>
        <w:fldChar w:fldCharType="begin"/>
      </w:r>
      <w:r>
        <w:instrText xml:space="preserve"> PAGEREF _Toc220079907 \h </w:instrText>
      </w:r>
      <w:r>
        <w:fldChar w:fldCharType="separate"/>
      </w:r>
      <w:r>
        <w:t>6</w:t>
      </w:r>
      <w:r>
        <w:fldChar w:fldCharType="end"/>
      </w:r>
      <w:r>
        <w:rPr>
          <w:rStyle w:val="34"/>
        </w:rPr>
        <w:fldChar w:fldCharType="end"/>
      </w:r>
    </w:p>
    <w:p w14:paraId="0E1B0D5C">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"_Toc220079908"</w:instrText>
      </w:r>
      <w:r>
        <w:rPr>
          <w:rStyle w:val="34"/>
        </w:rPr>
        <w:instrText xml:space="preserve"> </w:instrText>
      </w:r>
      <w:r>
        <w:rPr>
          <w:rStyle w:val="34"/>
        </w:rPr>
        <w:fldChar w:fldCharType="separate"/>
      </w:r>
      <w:r>
        <w:rPr>
          <w:rStyle w:val="34"/>
        </w:rPr>
        <w:t xml:space="preserve">5.2.4 </w:t>
      </w:r>
      <w:r>
        <w:rPr>
          <w:rStyle w:val="34"/>
          <w:rFonts w:hint="eastAsia" w:ascii="Times New Roman"/>
        </w:rPr>
        <w:t xml:space="preserve"> 领导作用</w:t>
      </w:r>
      <w:r>
        <w:tab/>
      </w:r>
      <w:r>
        <w:fldChar w:fldCharType="begin"/>
      </w:r>
      <w:r>
        <w:instrText xml:space="preserve"> PAGEREF _Toc220079908 \h </w:instrText>
      </w:r>
      <w:r>
        <w:fldChar w:fldCharType="separate"/>
      </w:r>
      <w:r>
        <w:t>7</w:t>
      </w:r>
      <w:r>
        <w:fldChar w:fldCharType="end"/>
      </w:r>
      <w:r>
        <w:rPr>
          <w:rStyle w:val="34"/>
        </w:rPr>
        <w:fldChar w:fldCharType="end"/>
      </w:r>
    </w:p>
    <w:p w14:paraId="715C0A48">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"_Toc220079909"</w:instrText>
      </w:r>
      <w:r>
        <w:rPr>
          <w:rStyle w:val="34"/>
        </w:rPr>
        <w:instrText xml:space="preserve"> </w:instrText>
      </w:r>
      <w:r>
        <w:rPr>
          <w:rStyle w:val="34"/>
        </w:rPr>
        <w:fldChar w:fldCharType="separate"/>
      </w:r>
      <w:r>
        <w:rPr>
          <w:rStyle w:val="34"/>
        </w:rPr>
        <w:t xml:space="preserve">5.2.5 </w:t>
      </w:r>
      <w:r>
        <w:rPr>
          <w:rStyle w:val="34"/>
          <w:rFonts w:hint="eastAsia" w:ascii="Times New Roman"/>
        </w:rPr>
        <w:t xml:space="preserve"> 法律法规</w:t>
      </w:r>
      <w:r>
        <w:tab/>
      </w:r>
      <w:r>
        <w:fldChar w:fldCharType="begin"/>
      </w:r>
      <w:r>
        <w:instrText xml:space="preserve"> PAGEREF _Toc220079909 \h </w:instrText>
      </w:r>
      <w:r>
        <w:fldChar w:fldCharType="separate"/>
      </w:r>
      <w:r>
        <w:t>7</w:t>
      </w:r>
      <w:r>
        <w:fldChar w:fldCharType="end"/>
      </w:r>
      <w:r>
        <w:rPr>
          <w:rStyle w:val="34"/>
        </w:rPr>
        <w:fldChar w:fldCharType="end"/>
      </w:r>
    </w:p>
    <w:p w14:paraId="2E62DC2A">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"_Toc220079910"</w:instrText>
      </w:r>
      <w:r>
        <w:rPr>
          <w:rStyle w:val="34"/>
        </w:rPr>
        <w:instrText xml:space="preserve"> </w:instrText>
      </w:r>
      <w:r>
        <w:rPr>
          <w:rStyle w:val="34"/>
        </w:rPr>
        <w:fldChar w:fldCharType="separate"/>
      </w:r>
      <w:r>
        <w:rPr>
          <w:rStyle w:val="34"/>
        </w:rPr>
        <w:t xml:space="preserve">5.2.6 </w:t>
      </w:r>
      <w:r>
        <w:rPr>
          <w:rStyle w:val="34"/>
          <w:rFonts w:hint="eastAsia" w:ascii="Times New Roman"/>
        </w:rPr>
        <w:t xml:space="preserve"> 岗位、权限和职责（再讨论）</w:t>
      </w:r>
      <w:r>
        <w:tab/>
      </w:r>
      <w:r>
        <w:fldChar w:fldCharType="begin"/>
      </w:r>
      <w:r>
        <w:instrText xml:space="preserve"> PAGEREF _Toc220079910 \h </w:instrText>
      </w:r>
      <w:r>
        <w:fldChar w:fldCharType="separate"/>
      </w:r>
      <w:r>
        <w:t>7</w:t>
      </w:r>
      <w:r>
        <w:fldChar w:fldCharType="end"/>
      </w:r>
      <w:r>
        <w:rPr>
          <w:rStyle w:val="34"/>
        </w:rPr>
        <w:fldChar w:fldCharType="end"/>
      </w:r>
    </w:p>
    <w:p w14:paraId="01857158">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"_Toc220079911"</w:instrText>
      </w:r>
      <w:r>
        <w:rPr>
          <w:rStyle w:val="34"/>
        </w:rPr>
        <w:instrText xml:space="preserve"> </w:instrText>
      </w:r>
      <w:r>
        <w:rPr>
          <w:rStyle w:val="34"/>
        </w:rPr>
        <w:fldChar w:fldCharType="separate"/>
      </w:r>
      <w:r>
        <w:rPr>
          <w:rStyle w:val="34"/>
        </w:rPr>
        <w:t xml:space="preserve">5.2.7 </w:t>
      </w:r>
      <w:r>
        <w:rPr>
          <w:rStyle w:val="34"/>
          <w:rFonts w:hint="eastAsia" w:ascii="Times New Roman"/>
        </w:rPr>
        <w:t xml:space="preserve"> 沟通</w:t>
      </w:r>
      <w:r>
        <w:tab/>
      </w:r>
      <w:r>
        <w:fldChar w:fldCharType="begin"/>
      </w:r>
      <w:r>
        <w:instrText xml:space="preserve"> PAGEREF _Toc220079911 \h </w:instrText>
      </w:r>
      <w:r>
        <w:fldChar w:fldCharType="separate"/>
      </w:r>
      <w:r>
        <w:t>7</w:t>
      </w:r>
      <w:r>
        <w:fldChar w:fldCharType="end"/>
      </w:r>
      <w:r>
        <w:rPr>
          <w:rStyle w:val="34"/>
        </w:rPr>
        <w:fldChar w:fldCharType="end"/>
      </w:r>
    </w:p>
    <w:p w14:paraId="373AF3DE">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"_Toc220079912"</w:instrText>
      </w:r>
      <w:r>
        <w:rPr>
          <w:rStyle w:val="34"/>
        </w:rPr>
        <w:instrText xml:space="preserve"> </w:instrText>
      </w:r>
      <w:r>
        <w:rPr>
          <w:rStyle w:val="34"/>
        </w:rPr>
        <w:fldChar w:fldCharType="separate"/>
      </w:r>
      <w:r>
        <w:rPr>
          <w:rStyle w:val="34"/>
        </w:rPr>
        <w:t xml:space="preserve">5.2.8 </w:t>
      </w:r>
      <w:r>
        <w:rPr>
          <w:rStyle w:val="34"/>
          <w:rFonts w:hint="eastAsia" w:ascii="Times New Roman"/>
        </w:rPr>
        <w:t xml:space="preserve"> 成文信息</w:t>
      </w:r>
      <w:r>
        <w:tab/>
      </w:r>
      <w:r>
        <w:fldChar w:fldCharType="begin"/>
      </w:r>
      <w:r>
        <w:instrText xml:space="preserve"> PAGEREF _Toc220079912 \h </w:instrText>
      </w:r>
      <w:r>
        <w:fldChar w:fldCharType="separate"/>
      </w:r>
      <w:r>
        <w:t>7</w:t>
      </w:r>
      <w:r>
        <w:fldChar w:fldCharType="end"/>
      </w:r>
      <w:r>
        <w:rPr>
          <w:rStyle w:val="34"/>
        </w:rPr>
        <w:fldChar w:fldCharType="end"/>
      </w:r>
    </w:p>
    <w:p w14:paraId="75D07300">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"_Toc220079913"</w:instrText>
      </w:r>
      <w:r>
        <w:rPr>
          <w:rStyle w:val="34"/>
        </w:rPr>
        <w:instrText xml:space="preserve"> </w:instrText>
      </w:r>
      <w:r>
        <w:rPr>
          <w:rStyle w:val="34"/>
        </w:rPr>
        <w:fldChar w:fldCharType="separate"/>
      </w:r>
      <w:r>
        <w:rPr>
          <w:rStyle w:val="34"/>
        </w:rPr>
        <w:t xml:space="preserve">5.2.9 </w:t>
      </w:r>
      <w:r>
        <w:rPr>
          <w:rStyle w:val="34"/>
          <w:rFonts w:hint="eastAsia" w:ascii="Times New Roman"/>
        </w:rPr>
        <w:t xml:space="preserve"> 报告</w:t>
      </w:r>
      <w:r>
        <w:tab/>
      </w:r>
      <w:r>
        <w:fldChar w:fldCharType="begin"/>
      </w:r>
      <w:r>
        <w:instrText xml:space="preserve"> PAGEREF _Toc220079913 \h </w:instrText>
      </w:r>
      <w:r>
        <w:fldChar w:fldCharType="separate"/>
      </w:r>
      <w:r>
        <w:t>8</w:t>
      </w:r>
      <w:r>
        <w:fldChar w:fldCharType="end"/>
      </w:r>
      <w:r>
        <w:rPr>
          <w:rStyle w:val="34"/>
        </w:rPr>
        <w:fldChar w:fldCharType="end"/>
      </w:r>
    </w:p>
    <w:p w14:paraId="062582D7">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"_Toc220079914"</w:instrText>
      </w:r>
      <w:r>
        <w:rPr>
          <w:rStyle w:val="34"/>
        </w:rPr>
        <w:instrText xml:space="preserve"> </w:instrText>
      </w:r>
      <w:r>
        <w:rPr>
          <w:rStyle w:val="34"/>
        </w:rPr>
        <w:fldChar w:fldCharType="separate"/>
      </w:r>
      <w:r>
        <w:rPr>
          <w:rStyle w:val="34"/>
        </w:rPr>
        <w:t xml:space="preserve">5.2.10 </w:t>
      </w:r>
      <w:r>
        <w:rPr>
          <w:rStyle w:val="34"/>
          <w:rFonts w:hint="eastAsia" w:ascii="Times New Roman"/>
        </w:rPr>
        <w:t xml:space="preserve"> 评价</w:t>
      </w:r>
      <w:r>
        <w:tab/>
      </w:r>
      <w:r>
        <w:fldChar w:fldCharType="begin"/>
      </w:r>
      <w:r>
        <w:instrText xml:space="preserve"> PAGEREF _Toc220079914 \h </w:instrText>
      </w:r>
      <w:r>
        <w:fldChar w:fldCharType="separate"/>
      </w:r>
      <w:r>
        <w:t>8</w:t>
      </w:r>
      <w:r>
        <w:fldChar w:fldCharType="end"/>
      </w:r>
      <w:r>
        <w:rPr>
          <w:rStyle w:val="34"/>
        </w:rPr>
        <w:fldChar w:fldCharType="end"/>
      </w:r>
    </w:p>
    <w:p w14:paraId="2C2275ED">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"_Toc220079915"</w:instrText>
      </w:r>
      <w:r>
        <w:rPr>
          <w:rStyle w:val="34"/>
        </w:rPr>
        <w:instrText xml:space="preserve"> </w:instrText>
      </w:r>
      <w:r>
        <w:rPr>
          <w:rStyle w:val="34"/>
        </w:rPr>
        <w:fldChar w:fldCharType="separate"/>
      </w:r>
      <w:r>
        <w:rPr>
          <w:rStyle w:val="34"/>
        </w:rPr>
        <w:t xml:space="preserve">5.2.11 </w:t>
      </w:r>
      <w:r>
        <w:rPr>
          <w:rStyle w:val="34"/>
          <w:rFonts w:hint="eastAsia" w:ascii="Times New Roman"/>
        </w:rPr>
        <w:t xml:space="preserve"> 持续改进</w:t>
      </w:r>
      <w:r>
        <w:tab/>
      </w:r>
      <w:r>
        <w:fldChar w:fldCharType="begin"/>
      </w:r>
      <w:r>
        <w:instrText xml:space="preserve"> PAGEREF _Toc220079915 \h </w:instrText>
      </w:r>
      <w:r>
        <w:fldChar w:fldCharType="separate"/>
      </w:r>
      <w:r>
        <w:t>8</w:t>
      </w:r>
      <w:r>
        <w:fldChar w:fldCharType="end"/>
      </w:r>
      <w:r>
        <w:rPr>
          <w:rStyle w:val="34"/>
        </w:rPr>
        <w:fldChar w:fldCharType="end"/>
      </w:r>
    </w:p>
    <w:p w14:paraId="34EF5C88">
      <w:pPr>
        <w:pStyle w:val="25"/>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"_Toc220079916"</w:instrText>
      </w:r>
      <w:r>
        <w:rPr>
          <w:rStyle w:val="34"/>
        </w:rPr>
        <w:instrText xml:space="preserve"> </w:instrText>
      </w:r>
      <w:r>
        <w:rPr>
          <w:rStyle w:val="34"/>
        </w:rPr>
        <w:fldChar w:fldCharType="separate"/>
      </w:r>
      <w:r>
        <w:rPr>
          <w:rStyle w:val="34"/>
          <w14:scene3d>
            <w14:lightRig w14:rig="threePt" w14:dir="t">
              <w14:rot w14:lat="0" w14:lon="0" w14:rev="0"/>
            </w14:lightRig>
          </w14:scene3d>
        </w:rPr>
        <w:t xml:space="preserve">5.3 </w:t>
      </w:r>
      <w:r>
        <w:rPr>
          <w:rStyle w:val="34"/>
          <w:rFonts w:hint="eastAsia" w:ascii="Times New Roman"/>
        </w:rPr>
        <w:t xml:space="preserve"> 风险管理</w:t>
      </w:r>
      <w:r>
        <w:tab/>
      </w:r>
      <w:r>
        <w:fldChar w:fldCharType="begin"/>
      </w:r>
      <w:r>
        <w:instrText xml:space="preserve"> PAGEREF _Toc220079916 \h </w:instrText>
      </w:r>
      <w:r>
        <w:fldChar w:fldCharType="separate"/>
      </w:r>
      <w:r>
        <w:t>8</w:t>
      </w:r>
      <w:r>
        <w:fldChar w:fldCharType="end"/>
      </w:r>
      <w:r>
        <w:rPr>
          <w:rStyle w:val="34"/>
        </w:rPr>
        <w:fldChar w:fldCharType="end"/>
      </w:r>
    </w:p>
    <w:p w14:paraId="4F10397F">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"_Toc220079917"</w:instrText>
      </w:r>
      <w:r>
        <w:rPr>
          <w:rStyle w:val="34"/>
        </w:rPr>
        <w:instrText xml:space="preserve"> </w:instrText>
      </w:r>
      <w:r>
        <w:rPr>
          <w:rStyle w:val="34"/>
        </w:rPr>
        <w:fldChar w:fldCharType="separate"/>
      </w:r>
      <w:r>
        <w:rPr>
          <w:rStyle w:val="34"/>
        </w:rPr>
        <w:t xml:space="preserve">5.3.1 </w:t>
      </w:r>
      <w:r>
        <w:rPr>
          <w:rStyle w:val="34"/>
          <w:rFonts w:hint="eastAsia" w:ascii="Times New Roman"/>
        </w:rPr>
        <w:t xml:space="preserve"> 总则</w:t>
      </w:r>
      <w:r>
        <w:tab/>
      </w:r>
      <w:r>
        <w:fldChar w:fldCharType="begin"/>
      </w:r>
      <w:r>
        <w:instrText xml:space="preserve"> PAGEREF _Toc220079917 \h </w:instrText>
      </w:r>
      <w:r>
        <w:fldChar w:fldCharType="separate"/>
      </w:r>
      <w:r>
        <w:t>8</w:t>
      </w:r>
      <w:r>
        <w:fldChar w:fldCharType="end"/>
      </w:r>
      <w:r>
        <w:rPr>
          <w:rStyle w:val="34"/>
        </w:rPr>
        <w:fldChar w:fldCharType="end"/>
      </w:r>
    </w:p>
    <w:p w14:paraId="056342AA">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"_Toc220079918"</w:instrText>
      </w:r>
      <w:r>
        <w:rPr>
          <w:rStyle w:val="34"/>
        </w:rPr>
        <w:instrText xml:space="preserve"> </w:instrText>
      </w:r>
      <w:r>
        <w:rPr>
          <w:rStyle w:val="34"/>
        </w:rPr>
        <w:fldChar w:fldCharType="separate"/>
      </w:r>
      <w:r>
        <w:rPr>
          <w:rStyle w:val="34"/>
        </w:rPr>
        <w:t xml:space="preserve">5.3.2 </w:t>
      </w:r>
      <w:r>
        <w:rPr>
          <w:rStyle w:val="34"/>
          <w:rFonts w:hint="eastAsia" w:ascii="Times New Roman"/>
        </w:rPr>
        <w:t xml:space="preserve"> 安全风险范围、环境和准则</w:t>
      </w:r>
      <w:r>
        <w:tab/>
      </w:r>
      <w:r>
        <w:fldChar w:fldCharType="begin"/>
      </w:r>
      <w:r>
        <w:instrText xml:space="preserve"> PAGEREF _Toc220079918 \h </w:instrText>
      </w:r>
      <w:r>
        <w:fldChar w:fldCharType="separate"/>
      </w:r>
      <w:r>
        <w:t>8</w:t>
      </w:r>
      <w:r>
        <w:fldChar w:fldCharType="end"/>
      </w:r>
      <w:r>
        <w:rPr>
          <w:rStyle w:val="34"/>
        </w:rPr>
        <w:fldChar w:fldCharType="end"/>
      </w:r>
    </w:p>
    <w:p w14:paraId="2D172AA1">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"_Toc220079919"</w:instrText>
      </w:r>
      <w:r>
        <w:rPr>
          <w:rStyle w:val="34"/>
        </w:rPr>
        <w:instrText xml:space="preserve"> </w:instrText>
      </w:r>
      <w:r>
        <w:rPr>
          <w:rStyle w:val="34"/>
        </w:rPr>
        <w:fldChar w:fldCharType="separate"/>
      </w:r>
      <w:r>
        <w:rPr>
          <w:rStyle w:val="34"/>
        </w:rPr>
        <w:t xml:space="preserve">5.3.3 </w:t>
      </w:r>
      <w:r>
        <w:rPr>
          <w:rStyle w:val="34"/>
          <w:rFonts w:hint="eastAsia" w:ascii="Times New Roman"/>
        </w:rPr>
        <w:t xml:space="preserve"> 评估</w:t>
      </w:r>
      <w:r>
        <w:tab/>
      </w:r>
      <w:r>
        <w:fldChar w:fldCharType="begin"/>
      </w:r>
      <w:r>
        <w:instrText xml:space="preserve"> PAGEREF _Toc220079919 \h </w:instrText>
      </w:r>
      <w:r>
        <w:fldChar w:fldCharType="separate"/>
      </w:r>
      <w:r>
        <w:t>9</w:t>
      </w:r>
      <w:r>
        <w:fldChar w:fldCharType="end"/>
      </w:r>
      <w:r>
        <w:rPr>
          <w:rStyle w:val="34"/>
        </w:rPr>
        <w:fldChar w:fldCharType="end"/>
      </w:r>
    </w:p>
    <w:p w14:paraId="55007497">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"_Toc220079920"</w:instrText>
      </w:r>
      <w:r>
        <w:rPr>
          <w:rStyle w:val="34"/>
        </w:rPr>
        <w:instrText xml:space="preserve"> </w:instrText>
      </w:r>
      <w:r>
        <w:rPr>
          <w:rStyle w:val="34"/>
        </w:rPr>
        <w:fldChar w:fldCharType="separate"/>
      </w:r>
      <w:r>
        <w:rPr>
          <w:rStyle w:val="34"/>
        </w:rPr>
        <w:t xml:space="preserve">5.3.4 </w:t>
      </w:r>
      <w:r>
        <w:rPr>
          <w:rStyle w:val="34"/>
          <w:rFonts w:hint="eastAsia" w:ascii="Times New Roman"/>
        </w:rPr>
        <w:t xml:space="preserve"> 应对</w:t>
      </w:r>
      <w:r>
        <w:tab/>
      </w:r>
      <w:r>
        <w:fldChar w:fldCharType="begin"/>
      </w:r>
      <w:r>
        <w:instrText xml:space="preserve"> PAGEREF _Toc220079920 \h </w:instrText>
      </w:r>
      <w:r>
        <w:fldChar w:fldCharType="separate"/>
      </w:r>
      <w:r>
        <w:t>9</w:t>
      </w:r>
      <w:r>
        <w:fldChar w:fldCharType="end"/>
      </w:r>
      <w:r>
        <w:rPr>
          <w:rStyle w:val="34"/>
        </w:rPr>
        <w:fldChar w:fldCharType="end"/>
      </w:r>
    </w:p>
    <w:p w14:paraId="2BC69E12">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"_Toc220079921"</w:instrText>
      </w:r>
      <w:r>
        <w:rPr>
          <w:rStyle w:val="34"/>
        </w:rPr>
        <w:instrText xml:space="preserve"> </w:instrText>
      </w:r>
      <w:r>
        <w:rPr>
          <w:rStyle w:val="34"/>
        </w:rPr>
        <w:fldChar w:fldCharType="separate"/>
      </w:r>
      <w:r>
        <w:rPr>
          <w:rStyle w:val="34"/>
        </w:rPr>
        <w:t xml:space="preserve">5.3.5 </w:t>
      </w:r>
      <w:r>
        <w:rPr>
          <w:rStyle w:val="34"/>
          <w:rFonts w:hint="eastAsia"/>
        </w:rPr>
        <w:t xml:space="preserve"> 接受剩余安全风险等级</w:t>
      </w:r>
      <w:r>
        <w:tab/>
      </w:r>
      <w:r>
        <w:fldChar w:fldCharType="begin"/>
      </w:r>
      <w:r>
        <w:instrText xml:space="preserve"> PAGEREF _Toc220079921 \h </w:instrText>
      </w:r>
      <w:r>
        <w:fldChar w:fldCharType="separate"/>
      </w:r>
      <w:r>
        <w:t>9</w:t>
      </w:r>
      <w:r>
        <w:fldChar w:fldCharType="end"/>
      </w:r>
      <w:r>
        <w:rPr>
          <w:rStyle w:val="34"/>
        </w:rPr>
        <w:fldChar w:fldCharType="end"/>
      </w:r>
    </w:p>
    <w:p w14:paraId="1DAA37D1">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"_Toc220079922"</w:instrText>
      </w:r>
      <w:r>
        <w:rPr>
          <w:rStyle w:val="34"/>
        </w:rPr>
        <w:instrText xml:space="preserve"> </w:instrText>
      </w:r>
      <w:r>
        <w:rPr>
          <w:rStyle w:val="34"/>
        </w:rPr>
        <w:fldChar w:fldCharType="separate"/>
      </w:r>
      <w:r>
        <w:rPr>
          <w:rStyle w:val="34"/>
        </w:rPr>
        <w:t xml:space="preserve">5.3.6 </w:t>
      </w:r>
      <w:r>
        <w:rPr>
          <w:rStyle w:val="34"/>
          <w:rFonts w:hint="eastAsia" w:ascii="Times New Roman"/>
        </w:rPr>
        <w:t xml:space="preserve"> 沟通和咨询</w:t>
      </w:r>
      <w:r>
        <w:tab/>
      </w:r>
      <w:r>
        <w:fldChar w:fldCharType="begin"/>
      </w:r>
      <w:r>
        <w:instrText xml:space="preserve"> PAGEREF _Toc220079922 \h </w:instrText>
      </w:r>
      <w:r>
        <w:fldChar w:fldCharType="separate"/>
      </w:r>
      <w:r>
        <w:t>9</w:t>
      </w:r>
      <w:r>
        <w:fldChar w:fldCharType="end"/>
      </w:r>
      <w:r>
        <w:rPr>
          <w:rStyle w:val="34"/>
        </w:rPr>
        <w:fldChar w:fldCharType="end"/>
      </w:r>
    </w:p>
    <w:p w14:paraId="4CD675F3">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"_Toc220079923"</w:instrText>
      </w:r>
      <w:r>
        <w:rPr>
          <w:rStyle w:val="34"/>
        </w:rPr>
        <w:instrText xml:space="preserve"> </w:instrText>
      </w:r>
      <w:r>
        <w:rPr>
          <w:rStyle w:val="34"/>
        </w:rPr>
        <w:fldChar w:fldCharType="separate"/>
      </w:r>
      <w:r>
        <w:rPr>
          <w:rStyle w:val="34"/>
        </w:rPr>
        <w:t xml:space="preserve">5.3.7 </w:t>
      </w:r>
      <w:r>
        <w:rPr>
          <w:rStyle w:val="34"/>
          <w:rFonts w:hint="eastAsia" w:ascii="Times New Roman"/>
        </w:rPr>
        <w:t xml:space="preserve"> 监视和评审</w:t>
      </w:r>
      <w:r>
        <w:tab/>
      </w:r>
      <w:r>
        <w:fldChar w:fldCharType="begin"/>
      </w:r>
      <w:r>
        <w:instrText xml:space="preserve"> PAGEREF _Toc220079923 \h </w:instrText>
      </w:r>
      <w:r>
        <w:fldChar w:fldCharType="separate"/>
      </w:r>
      <w:r>
        <w:t>9</w:t>
      </w:r>
      <w:r>
        <w:fldChar w:fldCharType="end"/>
      </w:r>
      <w:r>
        <w:rPr>
          <w:rStyle w:val="34"/>
        </w:rPr>
        <w:fldChar w:fldCharType="end"/>
      </w:r>
    </w:p>
    <w:p w14:paraId="0A01DB73">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"_Toc220079924"</w:instrText>
      </w:r>
      <w:r>
        <w:rPr>
          <w:rStyle w:val="34"/>
        </w:rPr>
        <w:instrText xml:space="preserve"> </w:instrText>
      </w:r>
      <w:r>
        <w:rPr>
          <w:rStyle w:val="34"/>
        </w:rPr>
        <w:fldChar w:fldCharType="separate"/>
      </w:r>
      <w:r>
        <w:rPr>
          <w:rStyle w:val="34"/>
        </w:rPr>
        <w:t xml:space="preserve">5.3.8 </w:t>
      </w:r>
      <w:r>
        <w:rPr>
          <w:rStyle w:val="34"/>
          <w:rFonts w:hint="eastAsia" w:ascii="Times New Roman"/>
        </w:rPr>
        <w:t xml:space="preserve"> 成文管理和记录</w:t>
      </w:r>
      <w:r>
        <w:tab/>
      </w:r>
      <w:r>
        <w:fldChar w:fldCharType="begin"/>
      </w:r>
      <w:r>
        <w:instrText xml:space="preserve"> PAGEREF _Toc220079924 \h </w:instrText>
      </w:r>
      <w:r>
        <w:fldChar w:fldCharType="separate"/>
      </w:r>
      <w:r>
        <w:t>10</w:t>
      </w:r>
      <w:r>
        <w:fldChar w:fldCharType="end"/>
      </w:r>
      <w:r>
        <w:rPr>
          <w:rStyle w:val="34"/>
        </w:rPr>
        <w:fldChar w:fldCharType="end"/>
      </w:r>
    </w:p>
    <w:p w14:paraId="062A0054">
      <w:pPr>
        <w:pStyle w:val="25"/>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"_Toc220079925"</w:instrText>
      </w:r>
      <w:r>
        <w:rPr>
          <w:rStyle w:val="34"/>
        </w:rPr>
        <w:instrText xml:space="preserve"> </w:instrText>
      </w:r>
      <w:r>
        <w:rPr>
          <w:rStyle w:val="34"/>
        </w:rPr>
        <w:fldChar w:fldCharType="separate"/>
      </w:r>
      <w:r>
        <w:rPr>
          <w:rStyle w:val="34"/>
          <w14:scene3d>
            <w14:lightRig w14:rig="threePt" w14:dir="t">
              <w14:rot w14:lat="0" w14:lon="0" w14:rev="0"/>
            </w14:lightRig>
          </w14:scene3d>
        </w:rPr>
        <w:t xml:space="preserve">5.4 </w:t>
      </w:r>
      <w:r>
        <w:rPr>
          <w:rStyle w:val="34"/>
          <w:rFonts w:hint="eastAsia" w:ascii="Times New Roman"/>
        </w:rPr>
        <w:t xml:space="preserve"> 安全控制</w:t>
      </w:r>
      <w:r>
        <w:tab/>
      </w:r>
      <w:r>
        <w:fldChar w:fldCharType="begin"/>
      </w:r>
      <w:r>
        <w:instrText xml:space="preserve"> PAGEREF _Toc220079925 \h </w:instrText>
      </w:r>
      <w:r>
        <w:fldChar w:fldCharType="separate"/>
      </w:r>
      <w:r>
        <w:t>10</w:t>
      </w:r>
      <w:r>
        <w:fldChar w:fldCharType="end"/>
      </w:r>
      <w:r>
        <w:rPr>
          <w:rStyle w:val="34"/>
        </w:rPr>
        <w:fldChar w:fldCharType="end"/>
      </w:r>
    </w:p>
    <w:p w14:paraId="4B7EFBA4">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"_Toc220079926"</w:instrText>
      </w:r>
      <w:r>
        <w:rPr>
          <w:rStyle w:val="34"/>
        </w:rPr>
        <w:instrText xml:space="preserve"> </w:instrText>
      </w:r>
      <w:r>
        <w:rPr>
          <w:rStyle w:val="34"/>
        </w:rPr>
        <w:fldChar w:fldCharType="separate"/>
      </w:r>
      <w:r>
        <w:rPr>
          <w:rStyle w:val="34"/>
        </w:rPr>
        <w:t xml:space="preserve">5.4.1 </w:t>
      </w:r>
      <w:r>
        <w:rPr>
          <w:rStyle w:val="34"/>
          <w:rFonts w:hint="eastAsia" w:ascii="Times New Roman"/>
        </w:rPr>
        <w:t xml:space="preserve"> 总则</w:t>
      </w:r>
      <w:r>
        <w:tab/>
      </w:r>
      <w:r>
        <w:fldChar w:fldCharType="begin"/>
      </w:r>
      <w:r>
        <w:instrText xml:space="preserve"> PAGEREF _Toc220079926 \h </w:instrText>
      </w:r>
      <w:r>
        <w:fldChar w:fldCharType="separate"/>
      </w:r>
      <w:r>
        <w:t>10</w:t>
      </w:r>
      <w:r>
        <w:fldChar w:fldCharType="end"/>
      </w:r>
      <w:r>
        <w:rPr>
          <w:rStyle w:val="34"/>
        </w:rPr>
        <w:fldChar w:fldCharType="end"/>
      </w:r>
    </w:p>
    <w:p w14:paraId="121D78DA">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"_Toc220079927"</w:instrText>
      </w:r>
      <w:r>
        <w:rPr>
          <w:rStyle w:val="34"/>
        </w:rPr>
        <w:instrText xml:space="preserve"> </w:instrText>
      </w:r>
      <w:r>
        <w:rPr>
          <w:rStyle w:val="34"/>
        </w:rPr>
        <w:fldChar w:fldCharType="separate"/>
      </w:r>
      <w:r>
        <w:rPr>
          <w:rStyle w:val="34"/>
        </w:rPr>
        <w:t xml:space="preserve">5.4.2 </w:t>
      </w:r>
      <w:r>
        <w:rPr>
          <w:rStyle w:val="34"/>
          <w:rFonts w:hint="eastAsia" w:ascii="Times New Roman"/>
        </w:rPr>
        <w:t xml:space="preserve"> 保护等级</w:t>
      </w:r>
      <w:r>
        <w:tab/>
      </w:r>
      <w:r>
        <w:fldChar w:fldCharType="begin"/>
      </w:r>
      <w:r>
        <w:instrText xml:space="preserve"> PAGEREF _Toc220079927 \h </w:instrText>
      </w:r>
      <w:r>
        <w:fldChar w:fldCharType="separate"/>
      </w:r>
      <w:r>
        <w:t>10</w:t>
      </w:r>
      <w:r>
        <w:fldChar w:fldCharType="end"/>
      </w:r>
      <w:r>
        <w:rPr>
          <w:rStyle w:val="34"/>
        </w:rPr>
        <w:fldChar w:fldCharType="end"/>
      </w:r>
    </w:p>
    <w:p w14:paraId="11C1CD03">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"_Toc220079928"</w:instrText>
      </w:r>
      <w:r>
        <w:rPr>
          <w:rStyle w:val="34"/>
        </w:rPr>
        <w:instrText xml:space="preserve"> </w:instrText>
      </w:r>
      <w:r>
        <w:rPr>
          <w:rStyle w:val="34"/>
        </w:rPr>
        <w:fldChar w:fldCharType="separate"/>
      </w:r>
      <w:r>
        <w:rPr>
          <w:rStyle w:val="34"/>
        </w:rPr>
        <w:t xml:space="preserve">5.4.3 </w:t>
      </w:r>
      <w:r>
        <w:rPr>
          <w:rStyle w:val="34"/>
          <w:rFonts w:hint="eastAsia" w:ascii="Times New Roman"/>
        </w:rPr>
        <w:t xml:space="preserve"> 安全控制程序</w:t>
      </w:r>
      <w:r>
        <w:tab/>
      </w:r>
      <w:r>
        <w:fldChar w:fldCharType="begin"/>
      </w:r>
      <w:r>
        <w:instrText xml:space="preserve"> PAGEREF _Toc220079928 \h </w:instrText>
      </w:r>
      <w:r>
        <w:fldChar w:fldCharType="separate"/>
      </w:r>
      <w:r>
        <w:t>10</w:t>
      </w:r>
      <w:r>
        <w:fldChar w:fldCharType="end"/>
      </w:r>
      <w:r>
        <w:rPr>
          <w:rStyle w:val="34"/>
        </w:rPr>
        <w:fldChar w:fldCharType="end"/>
      </w:r>
    </w:p>
    <w:p w14:paraId="17F9D401">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"_Toc220079929"</w:instrText>
      </w:r>
      <w:r>
        <w:rPr>
          <w:rStyle w:val="34"/>
        </w:rPr>
        <w:instrText xml:space="preserve"> </w:instrText>
      </w:r>
      <w:r>
        <w:rPr>
          <w:rStyle w:val="34"/>
        </w:rPr>
        <w:fldChar w:fldCharType="separate"/>
      </w:r>
      <w:r>
        <w:rPr>
          <w:rStyle w:val="34"/>
        </w:rPr>
        <w:t xml:space="preserve">5.4.4 </w:t>
      </w:r>
      <w:r>
        <w:rPr>
          <w:rStyle w:val="34"/>
          <w:rFonts w:hint="eastAsia" w:ascii="Times New Roman"/>
        </w:rPr>
        <w:t xml:space="preserve"> 运营等级控制和评估</w:t>
      </w:r>
      <w:r>
        <w:tab/>
      </w:r>
      <w:r>
        <w:fldChar w:fldCharType="begin"/>
      </w:r>
      <w:r>
        <w:instrText xml:space="preserve"> PAGEREF _Toc220079929 \h </w:instrText>
      </w:r>
      <w:r>
        <w:fldChar w:fldCharType="separate"/>
      </w:r>
      <w:r>
        <w:t>10</w:t>
      </w:r>
      <w:r>
        <w:fldChar w:fldCharType="end"/>
      </w:r>
      <w:r>
        <w:rPr>
          <w:rStyle w:val="34"/>
        </w:rPr>
        <w:fldChar w:fldCharType="end"/>
      </w:r>
    </w:p>
    <w:p w14:paraId="3E5CBCDF">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"_Toc220079930"</w:instrText>
      </w:r>
      <w:r>
        <w:rPr>
          <w:rStyle w:val="34"/>
        </w:rPr>
        <w:instrText xml:space="preserve"> </w:instrText>
      </w:r>
      <w:r>
        <w:rPr>
          <w:rStyle w:val="34"/>
        </w:rPr>
        <w:fldChar w:fldCharType="separate"/>
      </w:r>
      <w:r>
        <w:rPr>
          <w:rStyle w:val="34"/>
        </w:rPr>
        <w:t xml:space="preserve">5.4.5 </w:t>
      </w:r>
      <w:r>
        <w:rPr>
          <w:rStyle w:val="34"/>
          <w:rFonts w:hint="eastAsia" w:ascii="Times New Roman"/>
        </w:rPr>
        <w:t xml:space="preserve"> 低可能性和不可预见情况的应急预案</w:t>
      </w:r>
      <w:r>
        <w:tab/>
      </w:r>
      <w:r>
        <w:fldChar w:fldCharType="begin"/>
      </w:r>
      <w:r>
        <w:instrText xml:space="preserve"> PAGEREF _Toc220079930 \h </w:instrText>
      </w:r>
      <w:r>
        <w:fldChar w:fldCharType="separate"/>
      </w:r>
      <w:r>
        <w:t>11</w:t>
      </w:r>
      <w:r>
        <w:fldChar w:fldCharType="end"/>
      </w:r>
      <w:r>
        <w:rPr>
          <w:rStyle w:val="34"/>
        </w:rPr>
        <w:fldChar w:fldCharType="end"/>
      </w:r>
    </w:p>
    <w:p w14:paraId="15C12421">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"_Toc220079931"</w:instrText>
      </w:r>
      <w:r>
        <w:rPr>
          <w:rStyle w:val="34"/>
        </w:rPr>
        <w:instrText xml:space="preserve"> </w:instrText>
      </w:r>
      <w:r>
        <w:rPr>
          <w:rStyle w:val="34"/>
        </w:rPr>
        <w:fldChar w:fldCharType="separate"/>
      </w:r>
      <w:r>
        <w:rPr>
          <w:rStyle w:val="34"/>
        </w:rPr>
        <w:t xml:space="preserve">5.4.6 </w:t>
      </w:r>
      <w:r>
        <w:rPr>
          <w:rStyle w:val="34"/>
          <w:rFonts w:hint="eastAsia" w:ascii="Times New Roman"/>
        </w:rPr>
        <w:t xml:space="preserve"> 安全活动时间表</w:t>
      </w:r>
      <w:r>
        <w:tab/>
      </w:r>
      <w:r>
        <w:fldChar w:fldCharType="begin"/>
      </w:r>
      <w:r>
        <w:instrText xml:space="preserve"> PAGEREF _Toc220079931 \h </w:instrText>
      </w:r>
      <w:r>
        <w:fldChar w:fldCharType="separate"/>
      </w:r>
      <w:r>
        <w:t>11</w:t>
      </w:r>
      <w:r>
        <w:fldChar w:fldCharType="end"/>
      </w:r>
      <w:r>
        <w:rPr>
          <w:rStyle w:val="34"/>
        </w:rPr>
        <w:fldChar w:fldCharType="end"/>
      </w:r>
    </w:p>
    <w:p w14:paraId="2D53ADBB">
      <w:pPr>
        <w:pStyle w:val="25"/>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"_Toc220079932"</w:instrText>
      </w:r>
      <w:r>
        <w:rPr>
          <w:rStyle w:val="34"/>
        </w:rPr>
        <w:instrText xml:space="preserve"> </w:instrText>
      </w:r>
      <w:r>
        <w:rPr>
          <w:rStyle w:val="34"/>
        </w:rPr>
        <w:fldChar w:fldCharType="separate"/>
      </w:r>
      <w:r>
        <w:rPr>
          <w:rStyle w:val="34"/>
          <w14:scene3d>
            <w14:lightRig w14:rig="threePt" w14:dir="t">
              <w14:rot w14:lat="0" w14:lon="0" w14:rev="0"/>
            </w14:lightRig>
          </w14:scene3d>
        </w:rPr>
        <w:t xml:space="preserve">5.5 </w:t>
      </w:r>
      <w:r>
        <w:rPr>
          <w:rStyle w:val="34"/>
          <w:rFonts w:hint="eastAsia" w:ascii="Times New Roman"/>
        </w:rPr>
        <w:t xml:space="preserve"> 安全控制过程</w:t>
      </w:r>
      <w:r>
        <w:tab/>
      </w:r>
      <w:r>
        <w:fldChar w:fldCharType="begin"/>
      </w:r>
      <w:r>
        <w:instrText xml:space="preserve"> PAGEREF _Toc220079932 \h </w:instrText>
      </w:r>
      <w:r>
        <w:fldChar w:fldCharType="separate"/>
      </w:r>
      <w:r>
        <w:t>11</w:t>
      </w:r>
      <w:r>
        <w:fldChar w:fldCharType="end"/>
      </w:r>
      <w:r>
        <w:rPr>
          <w:rStyle w:val="34"/>
        </w:rPr>
        <w:fldChar w:fldCharType="end"/>
      </w:r>
    </w:p>
    <w:p w14:paraId="48B4926B">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"_Toc220079933"</w:instrText>
      </w:r>
      <w:r>
        <w:rPr>
          <w:rStyle w:val="34"/>
        </w:rPr>
        <w:instrText xml:space="preserve"> </w:instrText>
      </w:r>
      <w:r>
        <w:rPr>
          <w:rStyle w:val="34"/>
        </w:rPr>
        <w:fldChar w:fldCharType="separate"/>
      </w:r>
      <w:r>
        <w:rPr>
          <w:rStyle w:val="34"/>
        </w:rPr>
        <w:t xml:space="preserve">5.5.1 </w:t>
      </w:r>
      <w:r>
        <w:rPr>
          <w:rStyle w:val="34"/>
          <w:rFonts w:hint="eastAsia" w:ascii="Times New Roman"/>
        </w:rPr>
        <w:t xml:space="preserve"> 总则</w:t>
      </w:r>
      <w:r>
        <w:tab/>
      </w:r>
      <w:r>
        <w:fldChar w:fldCharType="begin"/>
      </w:r>
      <w:r>
        <w:instrText xml:space="preserve"> PAGEREF _Toc220079933 \h </w:instrText>
      </w:r>
      <w:r>
        <w:fldChar w:fldCharType="separate"/>
      </w:r>
      <w:r>
        <w:t>11</w:t>
      </w:r>
      <w:r>
        <w:fldChar w:fldCharType="end"/>
      </w:r>
      <w:r>
        <w:rPr>
          <w:rStyle w:val="34"/>
        </w:rPr>
        <w:fldChar w:fldCharType="end"/>
      </w:r>
    </w:p>
    <w:p w14:paraId="0A7B7F29">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"_Toc220079934"</w:instrText>
      </w:r>
      <w:r>
        <w:rPr>
          <w:rStyle w:val="34"/>
        </w:rPr>
        <w:instrText xml:space="preserve"> </w:instrText>
      </w:r>
      <w:r>
        <w:rPr>
          <w:rStyle w:val="34"/>
        </w:rPr>
        <w:fldChar w:fldCharType="separate"/>
      </w:r>
      <w:r>
        <w:rPr>
          <w:rStyle w:val="34"/>
        </w:rPr>
        <w:t xml:space="preserve">5.5.2 </w:t>
      </w:r>
      <w:r>
        <w:rPr>
          <w:rStyle w:val="34"/>
          <w:rFonts w:hint="eastAsia" w:ascii="Times New Roman"/>
        </w:rPr>
        <w:t xml:space="preserve"> 选择</w:t>
      </w:r>
      <w:r>
        <w:tab/>
      </w:r>
      <w:r>
        <w:fldChar w:fldCharType="begin"/>
      </w:r>
      <w:r>
        <w:instrText xml:space="preserve"> PAGEREF _Toc220079934 \h </w:instrText>
      </w:r>
      <w:r>
        <w:fldChar w:fldCharType="separate"/>
      </w:r>
      <w:r>
        <w:t>12</w:t>
      </w:r>
      <w:r>
        <w:fldChar w:fldCharType="end"/>
      </w:r>
      <w:r>
        <w:rPr>
          <w:rStyle w:val="34"/>
        </w:rPr>
        <w:fldChar w:fldCharType="end"/>
      </w:r>
    </w:p>
    <w:p w14:paraId="0FD492A1">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"_Toc220079935"</w:instrText>
      </w:r>
      <w:r>
        <w:rPr>
          <w:rStyle w:val="34"/>
        </w:rPr>
        <w:instrText xml:space="preserve"> </w:instrText>
      </w:r>
      <w:r>
        <w:rPr>
          <w:rStyle w:val="34"/>
        </w:rPr>
        <w:fldChar w:fldCharType="separate"/>
      </w:r>
      <w:r>
        <w:rPr>
          <w:rStyle w:val="34"/>
        </w:rPr>
        <w:t xml:space="preserve">5.5.3 </w:t>
      </w:r>
      <w:r>
        <w:rPr>
          <w:rStyle w:val="34"/>
          <w:rFonts w:hint="eastAsia" w:ascii="Times New Roman"/>
        </w:rPr>
        <w:t xml:space="preserve"> 实施、测试和评价</w:t>
      </w:r>
      <w:r>
        <w:tab/>
      </w:r>
      <w:r>
        <w:fldChar w:fldCharType="begin"/>
      </w:r>
      <w:r>
        <w:instrText xml:space="preserve"> PAGEREF _Toc220079935 \h </w:instrText>
      </w:r>
      <w:r>
        <w:fldChar w:fldCharType="separate"/>
      </w:r>
      <w:r>
        <w:t>12</w:t>
      </w:r>
      <w:r>
        <w:fldChar w:fldCharType="end"/>
      </w:r>
      <w:r>
        <w:rPr>
          <w:rStyle w:val="34"/>
        </w:rPr>
        <w:fldChar w:fldCharType="end"/>
      </w:r>
    </w:p>
    <w:p w14:paraId="0D5D0AE8">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"_Toc220079936"</w:instrText>
      </w:r>
      <w:r>
        <w:rPr>
          <w:rStyle w:val="34"/>
        </w:rPr>
        <w:instrText xml:space="preserve"> </w:instrText>
      </w:r>
      <w:r>
        <w:rPr>
          <w:rStyle w:val="34"/>
        </w:rPr>
        <w:fldChar w:fldCharType="separate"/>
      </w:r>
      <w:r>
        <w:rPr>
          <w:rStyle w:val="34"/>
        </w:rPr>
        <w:t xml:space="preserve">5.5.4 </w:t>
      </w:r>
      <w:r>
        <w:rPr>
          <w:rStyle w:val="34"/>
          <w:rFonts w:hint="eastAsia" w:ascii="Times New Roman"/>
        </w:rPr>
        <w:t xml:space="preserve"> 监视活动</w:t>
      </w:r>
      <w:r>
        <w:tab/>
      </w:r>
      <w:r>
        <w:fldChar w:fldCharType="begin"/>
      </w:r>
      <w:r>
        <w:instrText xml:space="preserve"> PAGEREF _Toc220079936 \h </w:instrText>
      </w:r>
      <w:r>
        <w:fldChar w:fldCharType="separate"/>
      </w:r>
      <w:r>
        <w:t>12</w:t>
      </w:r>
      <w:r>
        <w:fldChar w:fldCharType="end"/>
      </w:r>
      <w:r>
        <w:rPr>
          <w:rStyle w:val="34"/>
        </w:rPr>
        <w:fldChar w:fldCharType="end"/>
      </w:r>
    </w:p>
    <w:p w14:paraId="1E940F90">
      <w:pPr>
        <w:pStyle w:val="16"/>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"_Toc220079937"</w:instrText>
      </w:r>
      <w:r>
        <w:rPr>
          <w:rStyle w:val="34"/>
        </w:rPr>
        <w:instrText xml:space="preserve"> </w:instrText>
      </w:r>
      <w:r>
        <w:rPr>
          <w:rStyle w:val="34"/>
        </w:rPr>
        <w:fldChar w:fldCharType="separate"/>
      </w:r>
      <w:r>
        <w:rPr>
          <w:rStyle w:val="34"/>
        </w:rPr>
        <w:t xml:space="preserve">5.5.5 </w:t>
      </w:r>
      <w:r>
        <w:rPr>
          <w:rStyle w:val="34"/>
          <w:rFonts w:hint="eastAsia" w:ascii="Times New Roman"/>
        </w:rPr>
        <w:t xml:space="preserve"> 有效性确定</w:t>
      </w:r>
      <w:r>
        <w:tab/>
      </w:r>
      <w:r>
        <w:fldChar w:fldCharType="begin"/>
      </w:r>
      <w:r>
        <w:instrText xml:space="preserve"> PAGEREF _Toc220079937 \h </w:instrText>
      </w:r>
      <w:r>
        <w:fldChar w:fldCharType="separate"/>
      </w:r>
      <w:r>
        <w:t>12</w:t>
      </w:r>
      <w:r>
        <w:fldChar w:fldCharType="end"/>
      </w:r>
      <w:r>
        <w:rPr>
          <w:rStyle w:val="34"/>
        </w:rPr>
        <w:fldChar w:fldCharType="end"/>
      </w:r>
    </w:p>
    <w:p w14:paraId="1986CFA7">
      <w:pPr>
        <w:pStyle w:val="20"/>
        <w:tabs>
          <w:tab w:val="right" w:leader="dot" w:pos="9344"/>
        </w:tabs>
        <w:rPr>
          <w:rFonts w:asciiTheme="minorHAnsi" w:hAnsiTheme="minorHAnsi" w:eastAsiaTheme="minorEastAsia" w:cstheme="minorBidi"/>
          <w:szCs w:val="22"/>
        </w:rPr>
      </w:pPr>
      <w:r>
        <w:rPr>
          <w:rStyle w:val="34"/>
        </w:rPr>
        <w:fldChar w:fldCharType="begin"/>
      </w:r>
      <w:r>
        <w:rPr>
          <w:rStyle w:val="34"/>
        </w:rPr>
        <w:instrText xml:space="preserve"> </w:instrText>
      </w:r>
      <w:r>
        <w:instrText xml:space="preserve">HYPERLINK \l "_Toc220079938"</w:instrText>
      </w:r>
      <w:r>
        <w:rPr>
          <w:rStyle w:val="34"/>
        </w:rPr>
        <w:instrText xml:space="preserve"> </w:instrText>
      </w:r>
      <w:r>
        <w:rPr>
          <w:rStyle w:val="34"/>
        </w:rPr>
        <w:fldChar w:fldCharType="separate"/>
      </w:r>
      <w:r>
        <w:rPr>
          <w:rStyle w:val="34"/>
          <w:rFonts w:hint="eastAsia" w:ascii="Times New Roman"/>
        </w:rPr>
        <w:t>参考文献</w:t>
      </w:r>
      <w:r>
        <w:tab/>
      </w:r>
      <w:r>
        <w:fldChar w:fldCharType="begin"/>
      </w:r>
      <w:r>
        <w:instrText xml:space="preserve"> PAGEREF _Toc220079938 \h </w:instrText>
      </w:r>
      <w:r>
        <w:fldChar w:fldCharType="separate"/>
      </w:r>
      <w:r>
        <w:t>13</w:t>
      </w:r>
      <w:r>
        <w:fldChar w:fldCharType="end"/>
      </w:r>
      <w:r>
        <w:rPr>
          <w:rStyle w:val="34"/>
        </w:rPr>
        <w:fldChar w:fldCharType="end"/>
      </w:r>
    </w:p>
    <w:p w14:paraId="7B45B3A4">
      <w:pPr>
        <w:pStyle w:val="93"/>
        <w:spacing w:after="468"/>
        <w:sectPr>
          <w:headerReference r:id="rId11" w:type="default"/>
          <w:footerReference r:id="rId12" w:type="default"/>
          <w:pgSz w:w="11906" w:h="16838"/>
          <w:pgMar w:top="2410" w:right="1134" w:bottom="1134" w:left="1134" w:header="1418" w:footer="1134" w:gutter="284"/>
          <w:pgNumType w:fmt="upperRoman" w:start="1"/>
          <w:cols w:space="425" w:num="1"/>
          <w:formProt w:val="0"/>
          <w:docGrid w:type="lines" w:linePitch="312" w:charSpace="0"/>
        </w:sectPr>
      </w:pPr>
      <w:r>
        <w:fldChar w:fldCharType="end"/>
      </w:r>
    </w:p>
    <w:bookmarkEnd w:id="9"/>
    <w:p w14:paraId="09B875FF">
      <w:pPr>
        <w:pStyle w:val="91"/>
        <w:spacing w:after="468"/>
        <w:rPr>
          <w:rFonts w:ascii="Times New Roman"/>
        </w:rPr>
      </w:pPr>
      <w:bookmarkStart w:id="17" w:name="_Toc220079896"/>
      <w:bookmarkStart w:id="18" w:name="BookMark2"/>
      <w:r>
        <w:rPr>
          <w:rFonts w:ascii="Times New Roman"/>
          <w:spacing w:val="320"/>
        </w:rPr>
        <w:t>前</w:t>
      </w:r>
      <w:r>
        <w:rPr>
          <w:rFonts w:ascii="Times New Roman"/>
        </w:rPr>
        <w:t>言</w:t>
      </w:r>
      <w:bookmarkEnd w:id="10"/>
      <w:bookmarkEnd w:id="11"/>
      <w:bookmarkEnd w:id="12"/>
      <w:bookmarkEnd w:id="13"/>
      <w:bookmarkEnd w:id="14"/>
      <w:bookmarkEnd w:id="15"/>
      <w:bookmarkEnd w:id="16"/>
      <w:bookmarkEnd w:id="17"/>
    </w:p>
    <w:p w14:paraId="5DA85DC7">
      <w:pPr>
        <w:pStyle w:val="58"/>
        <w:ind w:firstLine="420"/>
        <w:rPr>
          <w:rFonts w:ascii="Times New Roman"/>
        </w:rPr>
      </w:pPr>
      <w:r>
        <w:rPr>
          <w:rFonts w:ascii="Times New Roman"/>
        </w:rPr>
        <w:t>本文件按照</w:t>
      </w:r>
      <w:r>
        <w:rPr>
          <w:rFonts w:hint="eastAsia" w:ascii="Times New Roman"/>
        </w:rPr>
        <w:t xml:space="preserve"> </w:t>
      </w:r>
      <w:r>
        <w:rPr>
          <w:rFonts w:ascii="Times New Roman"/>
        </w:rPr>
        <w:t>GB/T 1.1—2020《标准化工作导则</w:t>
      </w:r>
      <w:r>
        <w:rPr>
          <w:rFonts w:hint="eastAsia" w:ascii="Times New Roman"/>
        </w:rPr>
        <w:t xml:space="preserve"> </w:t>
      </w:r>
      <w:r>
        <w:rPr>
          <w:rFonts w:ascii="Times New Roman"/>
        </w:rPr>
        <w:t>第1部分：标准化文件的结构和起草规则》的规定起草。</w:t>
      </w:r>
    </w:p>
    <w:p w14:paraId="544149CC">
      <w:pPr>
        <w:pStyle w:val="58"/>
        <w:ind w:firstLine="420"/>
        <w:rPr>
          <w:rFonts w:ascii="Times New Roman"/>
        </w:rPr>
      </w:pPr>
      <w:r>
        <w:rPr>
          <w:rFonts w:hint="eastAsia" w:ascii="Times New Roman"/>
        </w:rPr>
        <w:t>本文件等同采用</w:t>
      </w:r>
      <w:r>
        <w:rPr>
          <w:rFonts w:ascii="Times New Roman"/>
        </w:rPr>
        <w:t xml:space="preserve"> </w:t>
      </w:r>
      <w:r>
        <w:rPr>
          <w:rFonts w:hint="eastAsia" w:ascii="Times New Roman"/>
        </w:rPr>
        <w:t>ISO 22342：2023《安全和韧性 防护安全 为组织建立安全计划指南》。</w:t>
      </w:r>
    </w:p>
    <w:p w14:paraId="00B3BA5F">
      <w:pPr>
        <w:pStyle w:val="58"/>
        <w:ind w:firstLine="420"/>
        <w:rPr>
          <w:rFonts w:ascii="Times New Roman"/>
        </w:rPr>
      </w:pPr>
      <w:r>
        <w:rPr>
          <w:rFonts w:hint="eastAsia" w:ascii="Times New Roman"/>
        </w:rPr>
        <w:t>本文件做了下列最小限度的编辑性改动：</w:t>
      </w:r>
    </w:p>
    <w:p w14:paraId="468ED1F9">
      <w:pPr>
        <w:pStyle w:val="134"/>
      </w:pPr>
      <w:r>
        <w:rPr>
          <w:rFonts w:hint="eastAsia"/>
        </w:rPr>
        <w:t>用“本文件”代替ISO标准化文件提及自身时的表述。按照GB/T 1.1的规定及ISO导则 “第2部分”，使用“本文件”代替ISO标准化文件提及自身时的表述。</w:t>
      </w:r>
    </w:p>
    <w:p w14:paraId="0ED92164">
      <w:pPr>
        <w:pStyle w:val="134"/>
      </w:pPr>
      <w:r>
        <w:rPr>
          <w:rFonts w:hint="eastAsia"/>
        </w:rPr>
        <w:t>删除ISO标准化文件中前言部分对于ISO的基本介绍。由于ISO编写规则和格式与GB/T 1.1的规定不尽相同，因此删除ISO标准化文件前言部分中对ISO的介绍内容。</w:t>
      </w:r>
    </w:p>
    <w:p w14:paraId="35D73D81">
      <w:pPr>
        <w:pStyle w:val="134"/>
      </w:pPr>
      <w:r>
        <w:rPr>
          <w:rFonts w:hint="eastAsia"/>
        </w:rPr>
        <w:t>删除ISO标准化文件的前言。ISO标准化文件陈述了制定程序及通过条件，与我国的编写规则不完全相同，需要重新编写。</w:t>
      </w:r>
    </w:p>
    <w:p w14:paraId="76B023DB">
      <w:pPr>
        <w:pStyle w:val="134"/>
      </w:pPr>
      <w:r>
        <w:rPr>
          <w:rFonts w:hint="eastAsia"/>
        </w:rPr>
        <w:t>要素“规范性引用文件”中文件清单的变化。引用标准中的国际标准更改为相应的国家标准代替。</w:t>
      </w:r>
    </w:p>
    <w:p w14:paraId="70F1EFBF">
      <w:pPr>
        <w:pStyle w:val="134"/>
      </w:pPr>
      <w:r>
        <w:t>要素“参考文献”中文件清单的变化。</w:t>
      </w:r>
      <w:r>
        <w:rPr>
          <w:rFonts w:hint="eastAsia"/>
        </w:rPr>
        <w:t>引用标准中的国际标准更改为相应的国家标准代替。</w:t>
      </w:r>
    </w:p>
    <w:p w14:paraId="2481546E">
      <w:pPr>
        <w:pStyle w:val="58"/>
        <w:ind w:firstLine="420"/>
        <w:rPr>
          <w:rFonts w:ascii="Times New Roman"/>
        </w:rPr>
      </w:pPr>
      <w:r>
        <w:rPr>
          <w:rFonts w:hint="eastAsia" w:ascii="Times New Roman"/>
        </w:rPr>
        <w:t>请注意本文件的某些内容可能涉及专利。本文件的发布机构不承担识别专利的责任。</w:t>
      </w:r>
    </w:p>
    <w:p w14:paraId="7FC42FB1">
      <w:pPr>
        <w:pStyle w:val="58"/>
        <w:ind w:firstLine="420"/>
        <w:rPr>
          <w:rFonts w:ascii="Times New Roman"/>
        </w:rPr>
      </w:pPr>
      <w:r>
        <w:rPr>
          <w:rFonts w:ascii="Times New Roman"/>
        </w:rPr>
        <w:t>本文</w:t>
      </w:r>
      <w:r>
        <w:rPr>
          <w:rFonts w:hint="eastAsia" w:ascii="Times New Roman"/>
        </w:rPr>
        <w:t>件由全国公共安全基础标准化技术委员会提</w:t>
      </w:r>
      <w:r>
        <w:rPr>
          <w:rFonts w:ascii="Times New Roman"/>
        </w:rPr>
        <w:t>出</w:t>
      </w:r>
      <w:r>
        <w:rPr>
          <w:rFonts w:hint="eastAsia" w:ascii="Times New Roman"/>
        </w:rPr>
        <w:t>并归口</w:t>
      </w:r>
      <w:r>
        <w:rPr>
          <w:rFonts w:ascii="Times New Roman"/>
        </w:rPr>
        <w:t>。</w:t>
      </w:r>
    </w:p>
    <w:p w14:paraId="4A8B8DBF">
      <w:pPr>
        <w:pStyle w:val="58"/>
        <w:ind w:firstLine="420"/>
        <w:rPr>
          <w:rFonts w:ascii="Times New Roman"/>
        </w:rPr>
      </w:pPr>
      <w:r>
        <w:rPr>
          <w:rFonts w:ascii="Times New Roman"/>
        </w:rPr>
        <w:t>本文件起草单位</w:t>
      </w:r>
      <w:r>
        <w:rPr>
          <w:rFonts w:hint="eastAsia" w:ascii="Times New Roman"/>
        </w:rPr>
        <w:t>：国网江苏省电力有限公司泰州供电分公司、江苏省质量和标准化研究院、中国标准化研究院、江苏省保安协会、中国科学技术大学、北京市科学技术研究院、国网江苏省电力有限公司无锡供电分公司、苏州市东吴保安服务有限公司、成都搏智科技有限公司、江苏安泰输变电工程有限公司、华信中安（北京）保安服务有限公司、福建东南保安守押有限公司、东部战区总医院、国电环境保护研究院有限公司、方圆标志认证集团江苏有限公司、江苏华远企业管理咨询有限公司、中安特卫保安培训学校（福建）有限公司、江苏省南京工程高等职业学校 。</w:t>
      </w:r>
    </w:p>
    <w:p w14:paraId="4E3E1992">
      <w:pPr>
        <w:pStyle w:val="58"/>
        <w:ind w:firstLine="420"/>
        <w:rPr>
          <w:rFonts w:ascii="Times New Roman"/>
        </w:rPr>
      </w:pPr>
      <w:r>
        <w:rPr>
          <w:rFonts w:ascii="Times New Roman"/>
        </w:rPr>
        <w:t>本文件主要起草人：</w:t>
      </w:r>
      <w:r>
        <w:rPr>
          <w:rFonts w:hint="eastAsia" w:ascii="Times New Roman"/>
        </w:rPr>
        <w:t>王淑恒、杜舒雅、许萌君、赵兴昊、朱伟、王亚飞、王峰、陆剑云、鞠玲、王建峰、陈胜清、常宏、王皖、谢传静、柳庆、张庆明、柏源、刘珏、赵逸凡、刘立生、朱敬云、林晋、胡云飞、秦挺鑫、汪璇、许正豪、周倩、孟祥程、张超、李先喜、吴荣、许洁、吴江、刘辰昊、白武鑫、陈晓龙、林</w:t>
      </w:r>
      <w:bookmarkStart w:id="316" w:name="_GoBack"/>
      <w:bookmarkEnd w:id="316"/>
      <w:r>
        <w:rPr>
          <w:rFonts w:hint="eastAsia" w:ascii="Times New Roman"/>
        </w:rPr>
        <w:t>空。</w:t>
      </w:r>
    </w:p>
    <w:bookmarkEnd w:id="18"/>
    <w:p w14:paraId="654A9BDB">
      <w:pPr>
        <w:widowControl/>
        <w:adjustRightInd/>
        <w:spacing w:line="240" w:lineRule="auto"/>
        <w:jc w:val="left"/>
        <w:rPr>
          <w:rFonts w:ascii="Times New Roman" w:hAnsi="Times New Roman" w:eastAsia="黑体"/>
          <w:spacing w:val="320"/>
          <w:kern w:val="0"/>
          <w:sz w:val="32"/>
          <w:szCs w:val="20"/>
        </w:rPr>
      </w:pPr>
      <w:bookmarkStart w:id="19" w:name="_Toc169516086"/>
      <w:bookmarkStart w:id="20" w:name="_Toc169881569"/>
      <w:bookmarkStart w:id="21" w:name="_Toc169876099"/>
      <w:bookmarkStart w:id="22" w:name="_Toc169876086"/>
      <w:bookmarkStart w:id="23" w:name="BookMark3"/>
      <w:r>
        <w:rPr>
          <w:rFonts w:ascii="Times New Roman"/>
          <w:spacing w:val="320"/>
        </w:rPr>
        <w:br w:type="page"/>
      </w:r>
    </w:p>
    <w:p w14:paraId="2E5299FF">
      <w:pPr>
        <w:pStyle w:val="91"/>
        <w:spacing w:after="468"/>
        <w:rPr>
          <w:rFonts w:ascii="Times New Roman"/>
        </w:rPr>
      </w:pPr>
      <w:bookmarkStart w:id="24" w:name="_Toc219898304"/>
      <w:bookmarkStart w:id="25" w:name="_Toc219206734"/>
      <w:bookmarkStart w:id="26" w:name="_Toc219211590"/>
      <w:bookmarkStart w:id="27" w:name="_Toc220079897"/>
      <w:r>
        <w:rPr>
          <w:rFonts w:ascii="Times New Roman"/>
          <w:spacing w:val="320"/>
        </w:rPr>
        <w:t>引</w:t>
      </w:r>
      <w:r>
        <w:rPr>
          <w:rFonts w:ascii="Times New Roman"/>
        </w:rPr>
        <w:t>言</w:t>
      </w:r>
      <w:bookmarkEnd w:id="19"/>
      <w:bookmarkEnd w:id="20"/>
      <w:bookmarkEnd w:id="21"/>
      <w:bookmarkEnd w:id="22"/>
      <w:bookmarkEnd w:id="24"/>
      <w:bookmarkEnd w:id="25"/>
      <w:bookmarkEnd w:id="26"/>
      <w:bookmarkEnd w:id="27"/>
    </w:p>
    <w:p w14:paraId="224CAA29">
      <w:pPr>
        <w:pStyle w:val="58"/>
        <w:ind w:firstLine="420"/>
        <w:rPr>
          <w:rFonts w:ascii="Times New Roman"/>
        </w:rPr>
      </w:pPr>
      <w:r>
        <w:rPr>
          <w:rFonts w:hint="eastAsia" w:ascii="Times New Roman"/>
        </w:rPr>
        <w:t>所有组织均致力于管理其环境中的安全风险，以确保资产获得适当保护、维护相关方利益，并实现自身目标。</w:t>
      </w:r>
    </w:p>
    <w:p w14:paraId="4CA4C6CA">
      <w:pPr>
        <w:pStyle w:val="58"/>
        <w:ind w:firstLine="420"/>
        <w:rPr>
          <w:rFonts w:ascii="Times New Roman"/>
        </w:rPr>
      </w:pPr>
      <w:r>
        <w:rPr>
          <w:rFonts w:ascii="Times New Roman"/>
        </w:rPr>
        <w:t>组织</w:t>
      </w:r>
      <w:r>
        <w:rPr>
          <w:rFonts w:hint="eastAsia" w:ascii="Times New Roman"/>
        </w:rPr>
        <w:t>需要</w:t>
      </w:r>
      <w:r>
        <w:rPr>
          <w:rFonts w:ascii="Times New Roman"/>
        </w:rPr>
        <w:t>建立和保持</w:t>
      </w:r>
      <w:r>
        <w:rPr>
          <w:rFonts w:hint="eastAsia" w:ascii="Times New Roman"/>
        </w:rPr>
        <w:t>一套</w:t>
      </w:r>
      <w:r>
        <w:rPr>
          <w:rFonts w:ascii="Times New Roman"/>
        </w:rPr>
        <w:t>结构化的安全方法。</w:t>
      </w:r>
    </w:p>
    <w:p w14:paraId="48D1735F">
      <w:pPr>
        <w:pStyle w:val="58"/>
        <w:ind w:firstLine="420"/>
        <w:rPr>
          <w:rFonts w:ascii="Times New Roman"/>
        </w:rPr>
      </w:pPr>
      <w:r>
        <w:rPr>
          <w:rFonts w:hint="eastAsia" w:ascii="Times New Roman"/>
        </w:rPr>
        <w:t>安全计划旨在通过采取一切适当的行动和控制措施，使组织免受安全威胁。</w:t>
      </w:r>
    </w:p>
    <w:p w14:paraId="7DEADFCE">
      <w:pPr>
        <w:pStyle w:val="58"/>
        <w:ind w:firstLine="420"/>
        <w:rPr>
          <w:rFonts w:ascii="Times New Roman"/>
        </w:rPr>
      </w:pPr>
      <w:r>
        <w:rPr>
          <w:rFonts w:hint="eastAsia" w:ascii="Times New Roman"/>
        </w:rPr>
        <w:t>本文件为安全计划的实施提供指导，其内容结构包括对防护安全</w:t>
      </w:r>
      <w:r>
        <w:rPr>
          <w:rFonts w:ascii="Times New Roman"/>
        </w:rPr>
        <w:t>架构</w:t>
      </w:r>
      <w:r>
        <w:rPr>
          <w:rFonts w:hint="eastAsia" w:ascii="Times New Roman"/>
        </w:rPr>
        <w:t>的指导，从而使安全计划可以有效地融入现有的管理体系中。</w:t>
      </w:r>
    </w:p>
    <w:p w14:paraId="7E1B4D56">
      <w:pPr>
        <w:pStyle w:val="58"/>
        <w:ind w:firstLine="420"/>
        <w:rPr>
          <w:rFonts w:ascii="Times New Roman"/>
        </w:rPr>
      </w:pPr>
      <w:r>
        <w:rPr>
          <w:rFonts w:hint="eastAsia" w:ascii="Times New Roman"/>
        </w:rPr>
        <w:t>将组织的风险管理流程纳入到安全计划</w:t>
      </w:r>
      <w:r>
        <w:rPr>
          <w:rFonts w:ascii="Times New Roman"/>
        </w:rPr>
        <w:t>模型</w:t>
      </w:r>
      <w:r>
        <w:rPr>
          <w:rFonts w:hint="eastAsia" w:ascii="Times New Roman"/>
        </w:rPr>
        <w:t>，有助于适当的</w:t>
      </w:r>
      <w:r>
        <w:rPr>
          <w:rFonts w:ascii="Times New Roman"/>
        </w:rPr>
        <w:t>安全</w:t>
      </w:r>
      <w:r>
        <w:rPr>
          <w:rFonts w:hint="eastAsia" w:ascii="Times New Roman"/>
        </w:rPr>
        <w:t>管理。安全计划明确了义务和职责的分配，</w:t>
      </w:r>
      <w:r>
        <w:rPr>
          <w:rFonts w:ascii="Times New Roman"/>
        </w:rPr>
        <w:t>并</w:t>
      </w:r>
      <w:r>
        <w:rPr>
          <w:rFonts w:hint="eastAsia" w:ascii="Times New Roman"/>
        </w:rPr>
        <w:t>为</w:t>
      </w:r>
      <w:r>
        <w:rPr>
          <w:rFonts w:ascii="Times New Roman"/>
        </w:rPr>
        <w:t>控制措施的应用</w:t>
      </w:r>
      <w:r>
        <w:rPr>
          <w:rFonts w:hint="eastAsia" w:ascii="Times New Roman"/>
        </w:rPr>
        <w:t>提供</w:t>
      </w:r>
      <w:r>
        <w:rPr>
          <w:rFonts w:ascii="Times New Roman"/>
        </w:rPr>
        <w:t>指导，</w:t>
      </w:r>
      <w:r>
        <w:rPr>
          <w:rFonts w:hint="eastAsia" w:ascii="Times New Roman"/>
        </w:rPr>
        <w:t>使</w:t>
      </w:r>
      <w:r>
        <w:rPr>
          <w:rFonts w:ascii="Times New Roman"/>
        </w:rPr>
        <w:t>组织免受安全风险的影响</w:t>
      </w:r>
      <w:r>
        <w:rPr>
          <w:rFonts w:hint="eastAsia" w:ascii="Times New Roman"/>
        </w:rPr>
        <w:t>。</w:t>
      </w:r>
    </w:p>
    <w:p w14:paraId="66AAEFEA">
      <w:pPr>
        <w:pStyle w:val="58"/>
        <w:ind w:firstLine="420"/>
        <w:rPr>
          <w:rFonts w:ascii="Times New Roman"/>
        </w:rPr>
      </w:pPr>
      <w:r>
        <w:rPr>
          <w:rFonts w:hint="eastAsia" w:ascii="Times New Roman"/>
        </w:rPr>
        <w:t>采用适应性和灵活性的计划方法，能够</w:t>
      </w:r>
      <w:r>
        <w:rPr>
          <w:rFonts w:ascii="Times New Roman"/>
        </w:rPr>
        <w:t>为计划外的情况提供解决方案</w:t>
      </w:r>
      <w:r>
        <w:rPr>
          <w:rFonts w:hint="eastAsia" w:ascii="Times New Roman"/>
        </w:rPr>
        <w:t>。鉴于安全威胁的动态性和</w:t>
      </w:r>
      <w:r>
        <w:rPr>
          <w:rFonts w:ascii="Times New Roman"/>
        </w:rPr>
        <w:t>不可预见</w:t>
      </w:r>
      <w:r>
        <w:rPr>
          <w:rFonts w:hint="eastAsia" w:ascii="Times New Roman"/>
        </w:rPr>
        <w:t>性，</w:t>
      </w:r>
      <w:r>
        <w:rPr>
          <w:rFonts w:ascii="Times New Roman"/>
        </w:rPr>
        <w:t>本</w:t>
      </w:r>
      <w:r>
        <w:rPr>
          <w:rFonts w:hint="eastAsia" w:ascii="Times New Roman"/>
        </w:rPr>
        <w:t>文件</w:t>
      </w:r>
      <w:r>
        <w:rPr>
          <w:rFonts w:ascii="Times New Roman"/>
        </w:rPr>
        <w:t>介绍了</w:t>
      </w:r>
      <w:r>
        <w:rPr>
          <w:rFonts w:hint="eastAsia" w:ascii="Times New Roman"/>
        </w:rPr>
        <w:t>涉及技术和人员要素相关的适应性和灵活性的计划方法。</w:t>
      </w:r>
    </w:p>
    <w:p w14:paraId="51323001">
      <w:pPr>
        <w:pStyle w:val="58"/>
        <w:ind w:firstLine="420"/>
        <w:rPr>
          <w:rFonts w:ascii="Times New Roman"/>
        </w:rPr>
      </w:pPr>
      <w:r>
        <w:rPr>
          <w:rFonts w:ascii="Times New Roman"/>
        </w:rPr>
        <w:t>本</w:t>
      </w:r>
      <w:r>
        <w:rPr>
          <w:rFonts w:hint="eastAsia" w:ascii="Times New Roman"/>
        </w:rPr>
        <w:t>文件</w:t>
      </w:r>
      <w:r>
        <w:rPr>
          <w:rFonts w:ascii="Times New Roman"/>
        </w:rPr>
        <w:t>的目的是</w:t>
      </w:r>
      <w:r>
        <w:rPr>
          <w:rFonts w:hint="eastAsia" w:ascii="Times New Roman"/>
        </w:rPr>
        <w:t>为</w:t>
      </w:r>
      <w:r>
        <w:rPr>
          <w:rFonts w:ascii="Times New Roman"/>
        </w:rPr>
        <w:t>改进和</w:t>
      </w:r>
      <w:r>
        <w:rPr>
          <w:rFonts w:hint="eastAsia" w:ascii="Times New Roman"/>
        </w:rPr>
        <w:t>持续</w:t>
      </w:r>
      <w:r>
        <w:rPr>
          <w:rFonts w:ascii="Times New Roman"/>
        </w:rPr>
        <w:t>保护组织提供所必需的</w:t>
      </w:r>
      <w:r>
        <w:rPr>
          <w:rFonts w:hint="eastAsia" w:ascii="Times New Roman"/>
        </w:rPr>
        <w:t>基础</w:t>
      </w:r>
      <w:r>
        <w:rPr>
          <w:rFonts w:ascii="Times New Roman"/>
        </w:rPr>
        <w:t>要素。</w:t>
      </w:r>
    </w:p>
    <w:p w14:paraId="3E4ACB88">
      <w:pPr>
        <w:pStyle w:val="58"/>
        <w:ind w:firstLine="420"/>
        <w:rPr>
          <w:rFonts w:ascii="Times New Roman"/>
        </w:rPr>
      </w:pPr>
    </w:p>
    <w:p w14:paraId="26344D3D">
      <w:pPr>
        <w:pStyle w:val="58"/>
        <w:ind w:firstLine="420"/>
        <w:rPr>
          <w:rFonts w:ascii="Times New Roman"/>
        </w:rPr>
      </w:pPr>
    </w:p>
    <w:p w14:paraId="31B5BB94">
      <w:pPr>
        <w:pStyle w:val="58"/>
        <w:ind w:firstLine="420"/>
        <w:rPr>
          <w:rFonts w:ascii="Times New Roman"/>
        </w:rPr>
      </w:pPr>
    </w:p>
    <w:p w14:paraId="4733F8E3">
      <w:pPr>
        <w:pStyle w:val="58"/>
        <w:ind w:firstLine="420"/>
        <w:rPr>
          <w:rFonts w:ascii="Times New Roman"/>
        </w:rPr>
        <w:sectPr>
          <w:pgSz w:w="11906" w:h="16838"/>
          <w:pgMar w:top="2410" w:right="1134" w:bottom="1134" w:left="1134" w:header="1418" w:footer="1134" w:gutter="284"/>
          <w:pgNumType w:fmt="upperRoman"/>
          <w:cols w:space="425" w:num="1"/>
          <w:formProt w:val="0"/>
          <w:docGrid w:type="lines" w:linePitch="312" w:charSpace="0"/>
        </w:sectPr>
      </w:pPr>
    </w:p>
    <w:bookmarkEnd w:id="23"/>
    <w:p w14:paraId="307A47B5">
      <w:pPr>
        <w:spacing w:line="20" w:lineRule="exact"/>
        <w:jc w:val="center"/>
        <w:rPr>
          <w:rFonts w:ascii="Times New Roman" w:hAnsi="Times New Roman" w:eastAsia="黑体"/>
          <w:sz w:val="32"/>
          <w:szCs w:val="32"/>
        </w:rPr>
      </w:pPr>
      <w:bookmarkStart w:id="28" w:name="BookMark4"/>
    </w:p>
    <w:p w14:paraId="352C5D2A">
      <w:pPr>
        <w:spacing w:line="20" w:lineRule="exact"/>
        <w:jc w:val="center"/>
        <w:rPr>
          <w:rFonts w:ascii="Times New Roman" w:hAnsi="Times New Roman" w:eastAsia="黑体"/>
          <w:sz w:val="32"/>
          <w:szCs w:val="32"/>
        </w:rPr>
      </w:pPr>
    </w:p>
    <w:sdt>
      <w:sdtPr>
        <w:rPr>
          <w:rFonts w:ascii="Times New Roman" w:hAnsi="Times New Roman"/>
        </w:rPr>
        <w:tag w:val="NEW_STAND_NAME"/>
        <w:id w:val="595910757"/>
        <w:lock w:val="sdtLocked"/>
        <w:placeholder>
          <w:docPart w:val="E668E7384B774BE1A29245FB39FAFDF9"/>
        </w:placeholder>
      </w:sdtPr>
      <w:sdtEndPr>
        <w:rPr>
          <w:rFonts w:ascii="Times New Roman" w:hAnsi="Times New Roman"/>
        </w:rPr>
      </w:sdtEndPr>
      <w:sdtContent>
        <w:p w14:paraId="1177995E">
          <w:pPr>
            <w:pStyle w:val="179"/>
            <w:spacing w:after="686" w:afterLines="220"/>
            <w:rPr>
              <w:rFonts w:ascii="Times New Roman" w:hAnsi="Times New Roman"/>
            </w:rPr>
          </w:pPr>
          <w:bookmarkStart w:id="29" w:name="NEW_STAND_NAME"/>
          <w:r>
            <w:rPr>
              <w:rFonts w:ascii="Times New Roman" w:hAnsi="Times New Roman"/>
            </w:rPr>
            <w:t xml:space="preserve">安全和韧性 </w:t>
          </w:r>
          <w:r>
            <w:rPr>
              <w:rFonts w:hint="eastAsia" w:ascii="Times New Roman" w:hAnsi="Times New Roman"/>
            </w:rPr>
            <w:t>防护安全</w:t>
          </w:r>
          <w:r>
            <w:rPr>
              <w:rFonts w:ascii="Times New Roman" w:hAnsi="Times New Roman"/>
            </w:rPr>
            <w:t xml:space="preserve"> 为组织建立安全</w:t>
          </w:r>
          <w:r>
            <w:rPr>
              <w:rFonts w:hint="eastAsia" w:ascii="Times New Roman" w:hAnsi="Times New Roman"/>
            </w:rPr>
            <w:t>计划</w:t>
          </w:r>
          <w:r>
            <w:rPr>
              <w:rFonts w:ascii="Times New Roman" w:hAnsi="Times New Roman"/>
            </w:rPr>
            <w:t>指南</w:t>
          </w:r>
        </w:p>
      </w:sdtContent>
    </w:sdt>
    <w:bookmarkEnd w:id="29"/>
    <w:p w14:paraId="033096B2">
      <w:pPr>
        <w:pStyle w:val="106"/>
        <w:spacing w:before="312" w:after="312"/>
        <w:rPr>
          <w:rFonts w:ascii="Times New Roman"/>
        </w:rPr>
      </w:pPr>
      <w:bookmarkStart w:id="30" w:name="_Toc26986530"/>
      <w:bookmarkStart w:id="31" w:name="_Toc26986771"/>
      <w:bookmarkStart w:id="32" w:name="_Toc169876087"/>
      <w:bookmarkStart w:id="33" w:name="_Toc169516087"/>
      <w:bookmarkStart w:id="34" w:name="_Toc220079898"/>
      <w:bookmarkStart w:id="35" w:name="_Toc26718930"/>
      <w:bookmarkStart w:id="36" w:name="_Toc17233325"/>
      <w:bookmarkStart w:id="37" w:name="_Toc17233333"/>
      <w:bookmarkStart w:id="38" w:name="_Toc219206735"/>
      <w:bookmarkStart w:id="39" w:name="_Toc169876100"/>
      <w:bookmarkStart w:id="40" w:name="_Toc219898305"/>
      <w:bookmarkStart w:id="41" w:name="_Toc169881570"/>
      <w:bookmarkStart w:id="42" w:name="_Toc24884211"/>
      <w:bookmarkStart w:id="43" w:name="_Toc24884218"/>
      <w:bookmarkStart w:id="44" w:name="_Toc26648465"/>
      <w:bookmarkStart w:id="45" w:name="_Toc219211591"/>
      <w:r>
        <w:rPr>
          <w:rFonts w:ascii="Times New Roman"/>
        </w:rPr>
        <w:t>范围</w:t>
      </w:r>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p>
    <w:p w14:paraId="349A30A1">
      <w:pPr>
        <w:pStyle w:val="58"/>
        <w:ind w:firstLine="420"/>
        <w:rPr>
          <w:rFonts w:ascii="Times New Roman"/>
          <w:kern w:val="2"/>
          <w:sz w:val="30"/>
          <w:szCs w:val="30"/>
        </w:rPr>
      </w:pPr>
      <w:bookmarkStart w:id="46" w:name="_Toc26648466"/>
      <w:bookmarkStart w:id="47" w:name="_Toc24884219"/>
      <w:bookmarkStart w:id="48" w:name="_Toc17233334"/>
      <w:bookmarkStart w:id="49" w:name="_Toc17233326"/>
      <w:bookmarkStart w:id="50" w:name="_Toc24884212"/>
      <w:r>
        <w:rPr>
          <w:rFonts w:ascii="Times New Roman"/>
        </w:rPr>
        <w:t>本文件为制定和维护安全</w:t>
      </w:r>
      <w:r>
        <w:rPr>
          <w:rFonts w:hint="eastAsia" w:ascii="Times New Roman"/>
        </w:rPr>
        <w:t>计划</w:t>
      </w:r>
      <w:r>
        <w:rPr>
          <w:rFonts w:ascii="Times New Roman"/>
        </w:rPr>
        <w:t>提供了指导。安全</w:t>
      </w:r>
      <w:r>
        <w:rPr>
          <w:rFonts w:hint="eastAsia" w:ascii="Times New Roman"/>
        </w:rPr>
        <w:t>计划</w:t>
      </w:r>
      <w:r>
        <w:rPr>
          <w:rFonts w:ascii="Times New Roman"/>
        </w:rPr>
        <w:t>描述了组织如何建立有效的安全</w:t>
      </w:r>
      <w:r>
        <w:rPr>
          <w:rFonts w:hint="eastAsia" w:ascii="Times New Roman"/>
        </w:rPr>
        <w:t>计划并</w:t>
      </w:r>
      <w:r>
        <w:rPr>
          <w:rFonts w:ascii="Times New Roman"/>
        </w:rPr>
        <w:t>将</w:t>
      </w:r>
      <w:r>
        <w:rPr>
          <w:rFonts w:hint="eastAsia" w:ascii="Times New Roman"/>
        </w:rPr>
        <w:t>其融入</w:t>
      </w:r>
      <w:r>
        <w:rPr>
          <w:rFonts w:ascii="Times New Roman"/>
        </w:rPr>
        <w:t>到组织风险管理实践中。</w:t>
      </w:r>
    </w:p>
    <w:p w14:paraId="629CA708">
      <w:pPr>
        <w:pStyle w:val="58"/>
        <w:ind w:firstLine="420"/>
        <w:rPr>
          <w:rFonts w:ascii="Times New Roman"/>
        </w:rPr>
      </w:pPr>
      <w:r>
        <w:rPr>
          <w:rFonts w:hint="eastAsia" w:ascii="Times New Roman"/>
        </w:rPr>
        <w:t>本文件适用于</w:t>
      </w:r>
      <w:r>
        <w:rPr>
          <w:rFonts w:ascii="Times New Roman"/>
        </w:rPr>
        <w:t>希望以一致</w:t>
      </w:r>
      <w:r>
        <w:rPr>
          <w:rFonts w:hint="eastAsia" w:ascii="Times New Roman"/>
        </w:rPr>
        <w:t>的</w:t>
      </w:r>
      <w:r>
        <w:rPr>
          <w:rFonts w:ascii="Times New Roman"/>
        </w:rPr>
        <w:t>方式制定有效安全计划的</w:t>
      </w:r>
      <w:r>
        <w:rPr>
          <w:rFonts w:hint="eastAsia" w:ascii="Times New Roman"/>
        </w:rPr>
        <w:t>所有组织，不论其类型、规模和性质，亦不论是党政机关、企事业单位。</w:t>
      </w:r>
    </w:p>
    <w:p w14:paraId="7F0BBDAC">
      <w:pPr>
        <w:pStyle w:val="58"/>
        <w:ind w:firstLine="420"/>
        <w:rPr>
          <w:rFonts w:ascii="Times New Roman"/>
        </w:rPr>
      </w:pPr>
      <w:r>
        <w:rPr>
          <w:rFonts w:hint="eastAsia" w:ascii="Times New Roman"/>
        </w:rPr>
        <w:t>本文件适用于任何</w:t>
      </w:r>
      <w:r>
        <w:rPr>
          <w:rFonts w:ascii="Times New Roman"/>
        </w:rPr>
        <w:t>实施旨在</w:t>
      </w:r>
      <w:r>
        <w:rPr>
          <w:rFonts w:hint="eastAsia" w:ascii="Times New Roman"/>
        </w:rPr>
        <w:t>保护其资产免受恶意行为侵害并减少相关风险措施的组织。</w:t>
      </w:r>
    </w:p>
    <w:p w14:paraId="22F4FF00">
      <w:pPr>
        <w:pStyle w:val="58"/>
        <w:ind w:firstLine="420"/>
        <w:rPr>
          <w:rFonts w:ascii="Times New Roman"/>
        </w:rPr>
      </w:pPr>
      <w:r>
        <w:rPr>
          <w:rFonts w:ascii="Times New Roman"/>
        </w:rPr>
        <w:t>本文件</w:t>
      </w:r>
      <w:r>
        <w:rPr>
          <w:rFonts w:hint="eastAsia" w:ascii="Times New Roman"/>
        </w:rPr>
        <w:t>未</w:t>
      </w:r>
      <w:r>
        <w:rPr>
          <w:rFonts w:ascii="Times New Roman"/>
        </w:rPr>
        <w:t>提供</w:t>
      </w:r>
      <w:r>
        <w:rPr>
          <w:rFonts w:hint="eastAsia" w:ascii="Times New Roman"/>
        </w:rPr>
        <w:t>识别是否</w:t>
      </w:r>
      <w:r>
        <w:rPr>
          <w:rFonts w:ascii="Times New Roman"/>
        </w:rPr>
        <w:t>需</w:t>
      </w:r>
      <w:r>
        <w:rPr>
          <w:rFonts w:hint="eastAsia" w:ascii="Times New Roman"/>
        </w:rPr>
        <w:t>要</w:t>
      </w:r>
      <w:r>
        <w:rPr>
          <w:rFonts w:ascii="Times New Roman"/>
        </w:rPr>
        <w:t>实施或加强</w:t>
      </w:r>
      <w:r>
        <w:rPr>
          <w:rFonts w:hint="eastAsia" w:ascii="Times New Roman"/>
        </w:rPr>
        <w:t>防范</w:t>
      </w:r>
      <w:r>
        <w:rPr>
          <w:rFonts w:ascii="Times New Roman"/>
        </w:rPr>
        <w:t>恶意行为的预防和保护措施的具体准则</w:t>
      </w:r>
      <w:r>
        <w:rPr>
          <w:rFonts w:hint="eastAsia" w:ascii="Times New Roman"/>
        </w:rPr>
        <w:t>，</w:t>
      </w:r>
      <w:r>
        <w:rPr>
          <w:rFonts w:hint="eastAsia" w:ascii="Times New Roman"/>
          <w:highlight w:val="none"/>
        </w:rPr>
        <w:t>且该文件不适用于私营安保公司提供的服务与运营。</w:t>
      </w:r>
    </w:p>
    <w:p w14:paraId="78CB3343">
      <w:pPr>
        <w:pStyle w:val="106"/>
        <w:spacing w:before="312" w:after="312"/>
        <w:rPr>
          <w:rFonts w:ascii="Times New Roman"/>
        </w:rPr>
      </w:pPr>
      <w:bookmarkStart w:id="51" w:name="_Toc219206736"/>
      <w:bookmarkStart w:id="52" w:name="_Toc26718931"/>
      <w:bookmarkStart w:id="53" w:name="_Toc169881571"/>
      <w:bookmarkStart w:id="54" w:name="_Toc219211592"/>
      <w:bookmarkStart w:id="55" w:name="_Toc26986531"/>
      <w:bookmarkStart w:id="56" w:name="_Toc169876088"/>
      <w:bookmarkStart w:id="57" w:name="_Toc169876101"/>
      <w:bookmarkStart w:id="58" w:name="_Toc26986772"/>
      <w:bookmarkStart w:id="59" w:name="_Toc169516088"/>
      <w:bookmarkStart w:id="60" w:name="_Toc219898306"/>
      <w:bookmarkStart w:id="61" w:name="_Toc220079899"/>
      <w:r>
        <w:rPr>
          <w:rFonts w:ascii="Times New Roman"/>
        </w:rPr>
        <w:t>规范性引用文件</w:t>
      </w:r>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sdt>
      <w:sdtPr>
        <w:rPr>
          <w:rFonts w:ascii="Times New Roman"/>
        </w:rPr>
        <w:id w:val="715848253"/>
        <w:placeholder>
          <w:docPart w:val="570BC0154B324C5B8BA564AE274FD8FC"/>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ascii="Times New Roman"/>
        </w:rPr>
      </w:sdtEndPr>
      <w:sdtContent>
        <w:p w14:paraId="57F67E62">
          <w:pPr>
            <w:pStyle w:val="58"/>
            <w:ind w:firstLine="420"/>
            <w:rPr>
              <w:rFonts w:ascii="Times New Roman"/>
            </w:rPr>
          </w:pPr>
          <w:r>
            <w:rPr>
              <w:rFonts w:ascii="Times New Roman"/>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52F9648A">
      <w:pPr>
        <w:pStyle w:val="58"/>
        <w:ind w:firstLine="420"/>
        <w:rPr>
          <w:rFonts w:ascii="Times New Roman"/>
        </w:rPr>
      </w:pPr>
      <w:r>
        <w:rPr>
          <w:rFonts w:ascii="Times New Roman"/>
        </w:rPr>
        <w:t>ISO 22300 安全和韧性 术语（Security and resilience—Vocabulary）</w:t>
      </w:r>
    </w:p>
    <w:p w14:paraId="639CC5CB">
      <w:pPr>
        <w:pStyle w:val="58"/>
        <w:ind w:firstLine="420"/>
        <w:rPr>
          <w:rFonts w:ascii="Times New Roman"/>
        </w:rPr>
      </w:pPr>
      <w:r>
        <w:rPr>
          <w:rFonts w:ascii="Times New Roman"/>
        </w:rPr>
        <w:t>GB/T 24353-2022 风险管理 指南（GB/T 24353-2022，IS0 31000：2018，IDT）</w:t>
      </w:r>
    </w:p>
    <w:p w14:paraId="445C84F8">
      <w:pPr>
        <w:pStyle w:val="106"/>
        <w:spacing w:before="312" w:after="312"/>
        <w:rPr>
          <w:rFonts w:ascii="Times New Roman"/>
        </w:rPr>
      </w:pPr>
      <w:bookmarkStart w:id="62" w:name="_Toc169876102"/>
      <w:bookmarkStart w:id="63" w:name="_Toc169881572"/>
      <w:bookmarkStart w:id="64" w:name="_Toc219211593"/>
      <w:bookmarkStart w:id="65" w:name="_Toc169516089"/>
      <w:bookmarkStart w:id="66" w:name="_Toc219898307"/>
      <w:bookmarkStart w:id="67" w:name="_Toc169876089"/>
      <w:bookmarkStart w:id="68" w:name="_Toc219206737"/>
      <w:bookmarkStart w:id="69" w:name="_Toc220079900"/>
      <w:r>
        <w:rPr>
          <w:rFonts w:ascii="Times New Roman"/>
          <w:szCs w:val="21"/>
        </w:rPr>
        <w:t>术语和定义</w:t>
      </w:r>
      <w:bookmarkEnd w:id="62"/>
      <w:bookmarkEnd w:id="63"/>
      <w:bookmarkEnd w:id="64"/>
      <w:bookmarkEnd w:id="65"/>
      <w:bookmarkEnd w:id="66"/>
      <w:bookmarkEnd w:id="67"/>
      <w:bookmarkEnd w:id="68"/>
      <w:bookmarkEnd w:id="69"/>
    </w:p>
    <w:sdt>
      <w:sdtPr>
        <w:rPr>
          <w:rFonts w:ascii="Times New Roman"/>
        </w:rPr>
        <w:id w:val="-1909835108"/>
        <w:placeholder>
          <w:docPart w:val="570BC0154B324C5B8BA564AE274FD8FC"/>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ascii="Times New Roman"/>
        </w:rPr>
      </w:sdtEndPr>
      <w:sdtContent>
        <w:p w14:paraId="7B48AA57">
          <w:pPr>
            <w:pStyle w:val="58"/>
            <w:ind w:firstLine="420"/>
            <w:rPr>
              <w:rFonts w:ascii="Times New Roman"/>
            </w:rPr>
          </w:pPr>
          <w:bookmarkStart w:id="70" w:name="_Toc26986532"/>
          <w:bookmarkEnd w:id="70"/>
          <w:r>
            <w:rPr>
              <w:rFonts w:ascii="Times New Roman"/>
            </w:rPr>
            <w:t>ISO 22300、GB/T 24353界定的以及下列术语和定义适用于本文件。</w:t>
          </w:r>
        </w:p>
      </w:sdtContent>
    </w:sdt>
    <w:p w14:paraId="6D7438EC">
      <w:pPr>
        <w:pStyle w:val="225"/>
        <w:ind w:left="420" w:hanging="420" w:hangingChars="200"/>
        <w:rPr>
          <w:rFonts w:ascii="Times New Roman" w:eastAsia="黑体"/>
          <w:kern w:val="2"/>
        </w:rPr>
      </w:pPr>
      <w:r>
        <w:rPr>
          <w:rFonts w:ascii="Times New Roman" w:eastAsia="黑体"/>
        </w:rPr>
        <w:br w:type="textWrapping"/>
      </w:r>
      <w:r>
        <w:rPr>
          <w:rFonts w:hint="eastAsia" w:ascii="Times New Roman" w:eastAsia="黑体"/>
        </w:rPr>
        <w:t xml:space="preserve">须知 </w:t>
      </w:r>
      <w:r>
        <w:rPr>
          <w:rFonts w:ascii="Times New Roman" w:eastAsia="黑体"/>
        </w:rPr>
        <w:t>need-to-know</w:t>
      </w:r>
    </w:p>
    <w:p w14:paraId="2F9938DB">
      <w:pPr>
        <w:pStyle w:val="58"/>
        <w:ind w:left="399" w:leftChars="190" w:firstLine="0" w:firstLineChars="0"/>
        <w:rPr>
          <w:rFonts w:ascii="Times New Roman"/>
        </w:rPr>
      </w:pPr>
      <w:r>
        <w:rPr>
          <w:rFonts w:hint="eastAsia" w:ascii="Times New Roman"/>
        </w:rPr>
        <w:t>须</w:t>
      </w:r>
      <w:r>
        <w:rPr>
          <w:rFonts w:ascii="Times New Roman"/>
        </w:rPr>
        <w:t>根据</w:t>
      </w:r>
      <w:r>
        <w:rPr>
          <w:rFonts w:hint="eastAsia" w:ascii="Times New Roman"/>
        </w:rPr>
        <w:t>业务</w:t>
      </w:r>
      <w:r>
        <w:rPr>
          <w:rFonts w:ascii="Times New Roman"/>
        </w:rPr>
        <w:t>或运营</w:t>
      </w:r>
      <w:r>
        <w:rPr>
          <w:rFonts w:hint="eastAsia" w:ascii="Times New Roman"/>
        </w:rPr>
        <w:t>要求</w:t>
      </w:r>
      <w:r>
        <w:rPr>
          <w:rFonts w:ascii="Times New Roman"/>
        </w:rPr>
        <w:t>访问特定信息，包括</w:t>
      </w:r>
      <w:r>
        <w:rPr>
          <w:rFonts w:hint="eastAsia" w:ascii="Times New Roman"/>
        </w:rPr>
        <w:t>主动</w:t>
      </w:r>
      <w:r>
        <w:rPr>
          <w:rFonts w:ascii="Times New Roman"/>
        </w:rPr>
        <w:t>确定信息</w:t>
      </w:r>
      <w:r>
        <w:rPr>
          <w:rFonts w:hint="eastAsia" w:ascii="Times New Roman"/>
        </w:rPr>
        <w:t>防护等级和</w:t>
      </w:r>
      <w:r>
        <w:rPr>
          <w:rFonts w:ascii="Times New Roman"/>
        </w:rPr>
        <w:t>访问</w:t>
      </w:r>
      <w:r>
        <w:rPr>
          <w:rFonts w:hint="eastAsia" w:ascii="Times New Roman"/>
        </w:rPr>
        <w:t>权限主体</w:t>
      </w:r>
      <w:r>
        <w:rPr>
          <w:rFonts w:ascii="Times New Roman"/>
        </w:rPr>
        <w:t>的过程。</w:t>
      </w:r>
    </w:p>
    <w:p w14:paraId="4566768F">
      <w:pPr>
        <w:pStyle w:val="106"/>
        <w:spacing w:before="312" w:after="312"/>
        <w:rPr>
          <w:rFonts w:ascii="Times New Roman"/>
          <w:kern w:val="2"/>
          <w:sz w:val="30"/>
          <w:szCs w:val="30"/>
        </w:rPr>
      </w:pPr>
      <w:bookmarkStart w:id="71" w:name="_Toc169516090"/>
      <w:bookmarkStart w:id="72" w:name="_Toc219211594"/>
      <w:bookmarkStart w:id="73" w:name="_Toc169876103"/>
      <w:bookmarkStart w:id="74" w:name="_Toc169881573"/>
      <w:bookmarkStart w:id="75" w:name="_Toc219898308"/>
      <w:bookmarkStart w:id="76" w:name="_Toc169876090"/>
      <w:bookmarkStart w:id="77" w:name="_Toc219206738"/>
      <w:bookmarkStart w:id="78" w:name="_Toc220079901"/>
      <w:r>
        <w:rPr>
          <w:rFonts w:ascii="Times New Roman"/>
        </w:rPr>
        <w:t>安全</w:t>
      </w:r>
      <w:bookmarkEnd w:id="71"/>
      <w:r>
        <w:rPr>
          <w:rFonts w:hint="eastAsia" w:ascii="Times New Roman"/>
        </w:rPr>
        <w:t>计</w:t>
      </w:r>
      <w:r>
        <w:rPr>
          <w:rFonts w:ascii="Times New Roman"/>
        </w:rPr>
        <w:t>划</w:t>
      </w:r>
      <w:bookmarkEnd w:id="72"/>
      <w:bookmarkEnd w:id="73"/>
      <w:bookmarkEnd w:id="74"/>
      <w:bookmarkEnd w:id="75"/>
      <w:bookmarkEnd w:id="76"/>
      <w:bookmarkEnd w:id="77"/>
      <w:bookmarkEnd w:id="78"/>
    </w:p>
    <w:p w14:paraId="56229E50">
      <w:pPr>
        <w:pStyle w:val="58"/>
        <w:ind w:firstLine="420"/>
        <w:rPr>
          <w:rFonts w:ascii="Times New Roman"/>
        </w:rPr>
      </w:pPr>
      <w:r>
        <w:rPr>
          <w:rFonts w:ascii="Times New Roman"/>
        </w:rPr>
        <w:t>组织</w:t>
      </w:r>
      <w:r>
        <w:rPr>
          <w:rFonts w:hint="eastAsia" w:ascii="Times New Roman"/>
        </w:rPr>
        <w:t>宜</w:t>
      </w:r>
      <w:r>
        <w:rPr>
          <w:rFonts w:ascii="Times New Roman"/>
        </w:rPr>
        <w:t>创建、实施和保持安全</w:t>
      </w:r>
      <w:r>
        <w:rPr>
          <w:rFonts w:hint="eastAsia" w:ascii="Times New Roman"/>
        </w:rPr>
        <w:t>计划</w:t>
      </w:r>
      <w:r>
        <w:rPr>
          <w:rFonts w:ascii="Times New Roman"/>
        </w:rPr>
        <w:t>，以便基于安全风险分析来</w:t>
      </w:r>
      <w:r>
        <w:rPr>
          <w:rFonts w:hint="eastAsia" w:ascii="Times New Roman"/>
        </w:rPr>
        <w:t>开展</w:t>
      </w:r>
      <w:r>
        <w:rPr>
          <w:rFonts w:ascii="Times New Roman"/>
        </w:rPr>
        <w:t>管理活动，并与组织使命保持一致。</w:t>
      </w:r>
    </w:p>
    <w:p w14:paraId="25A1760D">
      <w:pPr>
        <w:pStyle w:val="58"/>
        <w:ind w:firstLine="420"/>
        <w:rPr>
          <w:rFonts w:ascii="Times New Roman"/>
        </w:rPr>
      </w:pPr>
      <w:r>
        <w:rPr>
          <w:rFonts w:ascii="Times New Roman"/>
        </w:rPr>
        <w:t>安全</w:t>
      </w:r>
      <w:r>
        <w:rPr>
          <w:rFonts w:hint="eastAsia" w:ascii="Times New Roman"/>
        </w:rPr>
        <w:t>计划宜</w:t>
      </w:r>
      <w:r>
        <w:rPr>
          <w:rFonts w:ascii="Times New Roman"/>
        </w:rPr>
        <w:t>：</w:t>
      </w:r>
    </w:p>
    <w:p w14:paraId="5EA47D67">
      <w:pPr>
        <w:pStyle w:val="134"/>
        <w:rPr>
          <w:rFonts w:ascii="Times New Roman"/>
        </w:rPr>
      </w:pPr>
      <w:r>
        <w:rPr>
          <w:rFonts w:hint="eastAsia" w:ascii="Times New Roman"/>
        </w:rPr>
        <w:t>针对于</w:t>
      </w:r>
      <w:r>
        <w:rPr>
          <w:rFonts w:ascii="Times New Roman"/>
        </w:rPr>
        <w:t>每个组织；</w:t>
      </w:r>
    </w:p>
    <w:p w14:paraId="50210FEF">
      <w:pPr>
        <w:pStyle w:val="134"/>
        <w:rPr>
          <w:rFonts w:ascii="Times New Roman"/>
        </w:rPr>
      </w:pPr>
      <w:r>
        <w:rPr>
          <w:rFonts w:ascii="Times New Roman"/>
        </w:rPr>
        <w:t>基于有关威胁和脆弱性</w:t>
      </w:r>
      <w:r>
        <w:rPr>
          <w:rFonts w:hint="eastAsia" w:ascii="Times New Roman"/>
        </w:rPr>
        <w:t>相关</w:t>
      </w:r>
      <w:r>
        <w:rPr>
          <w:rFonts w:ascii="Times New Roman"/>
        </w:rPr>
        <w:t>的安全战略和目标；</w:t>
      </w:r>
    </w:p>
    <w:p w14:paraId="253BB893">
      <w:pPr>
        <w:pStyle w:val="134"/>
        <w:rPr>
          <w:rFonts w:ascii="Times New Roman"/>
        </w:rPr>
      </w:pPr>
      <w:r>
        <w:rPr>
          <w:rFonts w:ascii="Times New Roman"/>
        </w:rPr>
        <w:t>在实施前，经最高管理者机构评审并正式批准；</w:t>
      </w:r>
    </w:p>
    <w:p w14:paraId="4637D9F5">
      <w:pPr>
        <w:pStyle w:val="134"/>
        <w:rPr>
          <w:rFonts w:ascii="Times New Roman"/>
        </w:rPr>
      </w:pPr>
      <w:r>
        <w:rPr>
          <w:rFonts w:ascii="Times New Roman"/>
        </w:rPr>
        <w:t>预测</w:t>
      </w:r>
      <w:r>
        <w:rPr>
          <w:rFonts w:hint="eastAsia" w:ascii="Times New Roman"/>
        </w:rPr>
        <w:t>需要</w:t>
      </w:r>
      <w:r>
        <w:rPr>
          <w:rFonts w:ascii="Times New Roman"/>
        </w:rPr>
        <w:t>可能面临的长期安全相关</w:t>
      </w:r>
      <w:r>
        <w:rPr>
          <w:rFonts w:hint="eastAsia" w:ascii="Times New Roman"/>
        </w:rPr>
        <w:t>的事件</w:t>
      </w:r>
      <w:r>
        <w:rPr>
          <w:rFonts w:ascii="Times New Roman"/>
        </w:rPr>
        <w:t>，</w:t>
      </w:r>
      <w:r>
        <w:rPr>
          <w:rFonts w:hint="eastAsia" w:ascii="Times New Roman"/>
        </w:rPr>
        <w:t>融入</w:t>
      </w:r>
      <w:r>
        <w:rPr>
          <w:rFonts w:ascii="Times New Roman"/>
        </w:rPr>
        <w:t>特殊程序，同时还</w:t>
      </w:r>
      <w:r>
        <w:rPr>
          <w:rFonts w:hint="eastAsia" w:ascii="Times New Roman"/>
        </w:rPr>
        <w:t>宜</w:t>
      </w:r>
      <w:r>
        <w:rPr>
          <w:rFonts w:ascii="Times New Roman"/>
        </w:rPr>
        <w:t>预测</w:t>
      </w:r>
      <w:r>
        <w:rPr>
          <w:rFonts w:hint="eastAsia" w:ascii="Times New Roman"/>
        </w:rPr>
        <w:t>建立</w:t>
      </w:r>
      <w:r>
        <w:rPr>
          <w:rFonts w:ascii="Times New Roman"/>
        </w:rPr>
        <w:t>适应性结构</w:t>
      </w:r>
      <w:r>
        <w:rPr>
          <w:rFonts w:hint="eastAsia" w:ascii="Times New Roman"/>
        </w:rPr>
        <w:t>，从而充分</w:t>
      </w:r>
      <w:r>
        <w:rPr>
          <w:rFonts w:ascii="Times New Roman"/>
        </w:rPr>
        <w:t>处理此类干扰性事件</w:t>
      </w:r>
      <w:r>
        <w:rPr>
          <w:rFonts w:hint="eastAsia" w:ascii="Times New Roman"/>
        </w:rPr>
        <w:t>。</w:t>
      </w:r>
    </w:p>
    <w:p w14:paraId="23EAA6CA">
      <w:pPr>
        <w:pStyle w:val="58"/>
        <w:ind w:firstLine="420"/>
        <w:rPr>
          <w:rFonts w:ascii="Times New Roman"/>
        </w:rPr>
      </w:pPr>
      <w:r>
        <w:rPr>
          <w:rFonts w:ascii="Times New Roman"/>
        </w:rPr>
        <w:t>组织可以使用单一安全</w:t>
      </w:r>
      <w:r>
        <w:rPr>
          <w:rFonts w:hint="eastAsia" w:ascii="Times New Roman"/>
        </w:rPr>
        <w:t>计划</w:t>
      </w:r>
      <w:r>
        <w:rPr>
          <w:rFonts w:ascii="Times New Roman"/>
        </w:rPr>
        <w:t>或由多个更详细的子</w:t>
      </w:r>
      <w:r>
        <w:rPr>
          <w:rFonts w:hint="eastAsia" w:ascii="Times New Roman"/>
        </w:rPr>
        <w:t>计划</w:t>
      </w:r>
      <w:r>
        <w:rPr>
          <w:rFonts w:ascii="Times New Roman"/>
        </w:rPr>
        <w:t>支持全面性和总体性的安全</w:t>
      </w:r>
      <w:r>
        <w:rPr>
          <w:rFonts w:hint="eastAsia" w:ascii="Times New Roman"/>
        </w:rPr>
        <w:t>计划</w:t>
      </w:r>
      <w:r>
        <w:rPr>
          <w:rFonts w:ascii="Times New Roman"/>
        </w:rPr>
        <w:t>。</w:t>
      </w:r>
    </w:p>
    <w:p w14:paraId="04F0B819">
      <w:pPr>
        <w:pStyle w:val="181"/>
        <w:rPr>
          <w:rFonts w:ascii="Times New Roman"/>
        </w:rPr>
      </w:pPr>
      <w:r>
        <w:rPr>
          <w:rFonts w:ascii="Times New Roman"/>
        </w:rPr>
        <w:t>由于组织的规模或</w:t>
      </w:r>
      <w:r>
        <w:rPr>
          <w:rFonts w:hint="eastAsia" w:ascii="Times New Roman"/>
        </w:rPr>
        <w:t>业务</w:t>
      </w:r>
      <w:r>
        <w:rPr>
          <w:rFonts w:ascii="Times New Roman"/>
        </w:rPr>
        <w:t>的复杂性，单一的安全</w:t>
      </w:r>
      <w:r>
        <w:rPr>
          <w:rFonts w:hint="eastAsia" w:ascii="Times New Roman"/>
        </w:rPr>
        <w:t>计划</w:t>
      </w:r>
      <w:r>
        <w:rPr>
          <w:rFonts w:ascii="Times New Roman"/>
        </w:rPr>
        <w:t>并</w:t>
      </w:r>
      <w:r>
        <w:rPr>
          <w:rFonts w:hint="eastAsia" w:ascii="Times New Roman"/>
        </w:rPr>
        <w:t>非</w:t>
      </w:r>
      <w:r>
        <w:rPr>
          <w:rFonts w:ascii="Times New Roman"/>
        </w:rPr>
        <w:t>总是可行的。</w:t>
      </w:r>
    </w:p>
    <w:p w14:paraId="4F1AB8B6">
      <w:pPr>
        <w:pStyle w:val="106"/>
        <w:spacing w:before="312" w:after="312"/>
        <w:rPr>
          <w:rFonts w:ascii="Times New Roman"/>
        </w:rPr>
      </w:pPr>
      <w:bookmarkStart w:id="79" w:name="_Toc169876091"/>
      <w:bookmarkStart w:id="80" w:name="_Toc169876104"/>
      <w:bookmarkStart w:id="81" w:name="_Toc219211595"/>
      <w:bookmarkStart w:id="82" w:name="_Toc219898309"/>
      <w:bookmarkStart w:id="83" w:name="_Toc169881574"/>
      <w:bookmarkStart w:id="84" w:name="_Toc219206739"/>
      <w:bookmarkStart w:id="85" w:name="_Toc169516091"/>
      <w:bookmarkStart w:id="86" w:name="_Toc220079902"/>
      <w:r>
        <w:rPr>
          <w:rFonts w:ascii="Times New Roman"/>
        </w:rPr>
        <w:t>安全</w:t>
      </w:r>
      <w:r>
        <w:rPr>
          <w:rFonts w:hint="eastAsia" w:ascii="Times New Roman"/>
        </w:rPr>
        <w:t>计划</w:t>
      </w:r>
      <w:r>
        <w:rPr>
          <w:rFonts w:ascii="Times New Roman"/>
        </w:rPr>
        <w:t>的组成</w:t>
      </w:r>
      <w:bookmarkEnd w:id="79"/>
      <w:bookmarkEnd w:id="80"/>
      <w:bookmarkEnd w:id="81"/>
      <w:bookmarkEnd w:id="82"/>
      <w:bookmarkEnd w:id="83"/>
      <w:bookmarkEnd w:id="84"/>
      <w:bookmarkEnd w:id="85"/>
      <w:bookmarkEnd w:id="86"/>
    </w:p>
    <w:p w14:paraId="44B563AD">
      <w:pPr>
        <w:pStyle w:val="107"/>
        <w:spacing w:before="156" w:after="156"/>
        <w:rPr>
          <w:rFonts w:ascii="Times New Roman"/>
        </w:rPr>
      </w:pPr>
      <w:bookmarkStart w:id="87" w:name="_Toc169881575"/>
      <w:bookmarkStart w:id="88" w:name="_Toc169516092"/>
      <w:bookmarkStart w:id="89" w:name="_Toc219211596"/>
      <w:bookmarkStart w:id="90" w:name="_Toc169876105"/>
      <w:bookmarkStart w:id="91" w:name="_Toc169876092"/>
      <w:bookmarkStart w:id="92" w:name="_Toc219206740"/>
      <w:r>
        <w:rPr>
          <w:rFonts w:hint="eastAsia" w:ascii="Times New Roman"/>
        </w:rPr>
        <w:t xml:space="preserve"> </w:t>
      </w:r>
      <w:bookmarkStart w:id="93" w:name="_Toc220079903"/>
      <w:bookmarkStart w:id="94" w:name="_Toc219898310"/>
      <w:r>
        <w:rPr>
          <w:rFonts w:ascii="Times New Roman"/>
        </w:rPr>
        <w:t>总则</w:t>
      </w:r>
      <w:bookmarkEnd w:id="87"/>
      <w:bookmarkEnd w:id="88"/>
      <w:bookmarkEnd w:id="89"/>
      <w:bookmarkEnd w:id="90"/>
      <w:bookmarkEnd w:id="91"/>
      <w:bookmarkEnd w:id="92"/>
      <w:bookmarkEnd w:id="93"/>
      <w:bookmarkEnd w:id="94"/>
    </w:p>
    <w:p w14:paraId="5F4CA818">
      <w:pPr>
        <w:pStyle w:val="58"/>
        <w:ind w:firstLine="420"/>
        <w:rPr>
          <w:rFonts w:ascii="Times New Roman"/>
        </w:rPr>
      </w:pPr>
      <w:r>
        <w:rPr>
          <w:rFonts w:ascii="Times New Roman"/>
        </w:rPr>
        <w:t>本条款就如何制定安全</w:t>
      </w:r>
      <w:r>
        <w:rPr>
          <w:rFonts w:hint="eastAsia" w:ascii="Times New Roman"/>
        </w:rPr>
        <w:t>计划</w:t>
      </w:r>
      <w:r>
        <w:rPr>
          <w:rFonts w:ascii="Times New Roman"/>
        </w:rPr>
        <w:t>的各组成部分给出了建议。它由以下各项提供详细指导的子条款组成：</w:t>
      </w:r>
    </w:p>
    <w:p w14:paraId="3A4A0B1C">
      <w:pPr>
        <w:pStyle w:val="134"/>
        <w:rPr>
          <w:rFonts w:ascii="Times New Roman"/>
        </w:rPr>
      </w:pPr>
      <w:r>
        <w:rPr>
          <w:rFonts w:ascii="Times New Roman"/>
        </w:rPr>
        <w:t>治理</w:t>
      </w:r>
      <w:r>
        <w:rPr>
          <w:rFonts w:hint="eastAsia" w:ascii="Times New Roman"/>
        </w:rPr>
        <w:t>（</w:t>
      </w:r>
      <w:r>
        <w:rPr>
          <w:rFonts w:ascii="Times New Roman"/>
        </w:rPr>
        <w:t>见5.2</w:t>
      </w:r>
      <w:r>
        <w:rPr>
          <w:rFonts w:hint="eastAsia" w:ascii="Times New Roman"/>
        </w:rPr>
        <w:t>）</w:t>
      </w:r>
      <w:r>
        <w:rPr>
          <w:rFonts w:ascii="Times New Roman"/>
        </w:rPr>
        <w:t>；</w:t>
      </w:r>
    </w:p>
    <w:p w14:paraId="21346A03">
      <w:pPr>
        <w:pStyle w:val="134"/>
        <w:rPr>
          <w:rFonts w:ascii="Times New Roman"/>
        </w:rPr>
      </w:pPr>
      <w:r>
        <w:rPr>
          <w:rFonts w:ascii="Times New Roman"/>
        </w:rPr>
        <w:t>风险管理（见5.3</w:t>
      </w:r>
      <w:r>
        <w:rPr>
          <w:rFonts w:hint="eastAsia" w:ascii="Times New Roman"/>
        </w:rPr>
        <w:t>）</w:t>
      </w:r>
      <w:r>
        <w:rPr>
          <w:rFonts w:ascii="Times New Roman"/>
        </w:rPr>
        <w:t>；</w:t>
      </w:r>
    </w:p>
    <w:p w14:paraId="6AF07153">
      <w:pPr>
        <w:pStyle w:val="134"/>
        <w:rPr>
          <w:rFonts w:ascii="Times New Roman"/>
        </w:rPr>
      </w:pPr>
      <w:r>
        <w:rPr>
          <w:rFonts w:ascii="Times New Roman"/>
        </w:rPr>
        <w:t>安全控制（见5.4</w:t>
      </w:r>
      <w:r>
        <w:rPr>
          <w:rFonts w:hint="eastAsia" w:ascii="Times New Roman"/>
        </w:rPr>
        <w:t>）</w:t>
      </w:r>
      <w:r>
        <w:rPr>
          <w:rFonts w:ascii="Times New Roman"/>
        </w:rPr>
        <w:t>；</w:t>
      </w:r>
    </w:p>
    <w:p w14:paraId="283C266A">
      <w:pPr>
        <w:pStyle w:val="134"/>
        <w:rPr>
          <w:rFonts w:ascii="Times New Roman"/>
        </w:rPr>
      </w:pPr>
      <w:r>
        <w:rPr>
          <w:rFonts w:ascii="Times New Roman"/>
        </w:rPr>
        <w:t>安全控制过程（见5.5</w:t>
      </w:r>
      <w:r>
        <w:rPr>
          <w:rFonts w:hint="eastAsia" w:ascii="Times New Roman"/>
        </w:rPr>
        <w:t>）</w:t>
      </w:r>
      <w:r>
        <w:rPr>
          <w:rFonts w:ascii="Times New Roman"/>
        </w:rPr>
        <w:t>。</w:t>
      </w:r>
    </w:p>
    <w:p w14:paraId="244A630F">
      <w:pPr>
        <w:pStyle w:val="181"/>
        <w:rPr>
          <w:rFonts w:ascii="Times New Roman"/>
        </w:rPr>
      </w:pPr>
      <w:r>
        <w:rPr>
          <w:rFonts w:ascii="Times New Roman"/>
        </w:rPr>
        <w:t>ISO 28000：2022，8.6，也包括有关安全</w:t>
      </w:r>
      <w:r>
        <w:rPr>
          <w:rFonts w:hint="eastAsia" w:ascii="Times New Roman"/>
        </w:rPr>
        <w:t>计划</w:t>
      </w:r>
      <w:r>
        <w:rPr>
          <w:rFonts w:ascii="Times New Roman"/>
        </w:rPr>
        <w:t>内容的信息。</w:t>
      </w:r>
    </w:p>
    <w:p w14:paraId="210CA3AB">
      <w:pPr>
        <w:pStyle w:val="107"/>
        <w:spacing w:before="156" w:after="156"/>
        <w:rPr>
          <w:rFonts w:ascii="Times New Roman"/>
        </w:rPr>
      </w:pPr>
      <w:bookmarkStart w:id="95" w:name="_Toc219898311"/>
      <w:bookmarkStart w:id="96" w:name="_Toc220079904"/>
      <w:bookmarkStart w:id="97" w:name="_Toc219206741"/>
      <w:bookmarkStart w:id="98" w:name="_Toc219211597"/>
      <w:bookmarkStart w:id="99" w:name="_Toc169876106"/>
      <w:bookmarkStart w:id="100" w:name="_Toc169881576"/>
      <w:bookmarkStart w:id="101" w:name="_Toc169876093"/>
      <w:r>
        <w:rPr>
          <w:rFonts w:ascii="Times New Roman"/>
        </w:rPr>
        <w:t>治理</w:t>
      </w:r>
      <w:bookmarkEnd w:id="95"/>
      <w:bookmarkEnd w:id="96"/>
      <w:bookmarkEnd w:id="97"/>
      <w:bookmarkEnd w:id="98"/>
      <w:bookmarkEnd w:id="99"/>
      <w:bookmarkEnd w:id="100"/>
      <w:bookmarkEnd w:id="101"/>
    </w:p>
    <w:p w14:paraId="2B05ADE4">
      <w:pPr>
        <w:pStyle w:val="67"/>
        <w:spacing w:before="156" w:after="156"/>
        <w:rPr>
          <w:rFonts w:ascii="Times New Roman"/>
        </w:rPr>
      </w:pPr>
      <w:bookmarkStart w:id="102" w:name="_Toc219898312"/>
      <w:bookmarkStart w:id="103" w:name="_Toc169881577"/>
      <w:bookmarkStart w:id="104" w:name="_Toc169876107"/>
      <w:bookmarkStart w:id="105" w:name="_Toc219206742"/>
      <w:bookmarkStart w:id="106" w:name="_Toc219211598"/>
      <w:bookmarkStart w:id="107" w:name="_Toc220079905"/>
      <w:r>
        <w:rPr>
          <w:rFonts w:ascii="Times New Roman"/>
        </w:rPr>
        <w:t>总则</w:t>
      </w:r>
      <w:bookmarkEnd w:id="102"/>
      <w:bookmarkEnd w:id="103"/>
      <w:bookmarkEnd w:id="104"/>
      <w:bookmarkEnd w:id="105"/>
      <w:bookmarkEnd w:id="106"/>
      <w:bookmarkEnd w:id="107"/>
    </w:p>
    <w:p w14:paraId="42904D25">
      <w:pPr>
        <w:pStyle w:val="58"/>
        <w:ind w:firstLine="420"/>
        <w:rPr>
          <w:rFonts w:ascii="Times New Roman"/>
        </w:rPr>
      </w:pPr>
      <w:r>
        <w:rPr>
          <w:rFonts w:ascii="Times New Roman"/>
        </w:rPr>
        <w:t>组织</w:t>
      </w:r>
      <w:r>
        <w:rPr>
          <w:rFonts w:hint="eastAsia" w:ascii="Times New Roman"/>
        </w:rPr>
        <w:t>宜</w:t>
      </w:r>
      <w:r>
        <w:rPr>
          <w:rFonts w:ascii="Times New Roman"/>
        </w:rPr>
        <w:t>确定安全</w:t>
      </w:r>
      <w:r>
        <w:rPr>
          <w:rFonts w:hint="eastAsia" w:ascii="Times New Roman"/>
        </w:rPr>
        <w:t>计划的</w:t>
      </w:r>
      <w:r>
        <w:rPr>
          <w:rFonts w:ascii="Times New Roman"/>
        </w:rPr>
        <w:t>治理</w:t>
      </w:r>
      <w:r>
        <w:rPr>
          <w:rFonts w:hint="eastAsia" w:ascii="Times New Roman"/>
        </w:rPr>
        <w:t>方式</w:t>
      </w:r>
      <w:r>
        <w:rPr>
          <w:rFonts w:ascii="Times New Roman"/>
        </w:rPr>
        <w:t>。</w:t>
      </w:r>
      <w:r>
        <w:rPr>
          <w:rFonts w:hint="eastAsia" w:ascii="Times New Roman"/>
        </w:rPr>
        <w:t>需</w:t>
      </w:r>
      <w:r>
        <w:rPr>
          <w:rFonts w:ascii="Times New Roman"/>
        </w:rPr>
        <w:t>考虑包括：</w:t>
      </w:r>
    </w:p>
    <w:p w14:paraId="274BA54A">
      <w:pPr>
        <w:pStyle w:val="134"/>
        <w:rPr>
          <w:rFonts w:ascii="Times New Roman"/>
        </w:rPr>
      </w:pPr>
      <w:r>
        <w:rPr>
          <w:rFonts w:ascii="Times New Roman"/>
        </w:rPr>
        <w:t>安全目标（见5.2.2）；</w:t>
      </w:r>
    </w:p>
    <w:p w14:paraId="16FCCF85">
      <w:pPr>
        <w:pStyle w:val="134"/>
        <w:rPr>
          <w:rFonts w:ascii="Times New Roman"/>
        </w:rPr>
      </w:pPr>
      <w:r>
        <w:rPr>
          <w:rFonts w:ascii="Times New Roman"/>
        </w:rPr>
        <w:t>安全</w:t>
      </w:r>
      <w:r>
        <w:rPr>
          <w:rFonts w:hint="eastAsia" w:ascii="Times New Roman"/>
        </w:rPr>
        <w:t>计划</w:t>
      </w:r>
      <w:r>
        <w:rPr>
          <w:rFonts w:ascii="Times New Roman"/>
        </w:rPr>
        <w:t>范围（见5.2.3）；</w:t>
      </w:r>
    </w:p>
    <w:p w14:paraId="55A5757E">
      <w:pPr>
        <w:pStyle w:val="134"/>
        <w:rPr>
          <w:rFonts w:ascii="Times New Roman"/>
        </w:rPr>
      </w:pPr>
      <w:r>
        <w:rPr>
          <w:rFonts w:ascii="Times New Roman"/>
        </w:rPr>
        <w:t>领导作用（见5.2.4）；</w:t>
      </w:r>
    </w:p>
    <w:p w14:paraId="68D2E210">
      <w:pPr>
        <w:pStyle w:val="134"/>
        <w:rPr>
          <w:rFonts w:ascii="Times New Roman"/>
        </w:rPr>
      </w:pPr>
      <w:r>
        <w:rPr>
          <w:rFonts w:ascii="Times New Roman"/>
        </w:rPr>
        <w:t>法律法规（见5.2.5）；</w:t>
      </w:r>
    </w:p>
    <w:p w14:paraId="191ABE8A">
      <w:pPr>
        <w:pStyle w:val="134"/>
        <w:rPr>
          <w:rFonts w:ascii="Times New Roman"/>
        </w:rPr>
      </w:pPr>
      <w:r>
        <w:rPr>
          <w:rFonts w:ascii="Times New Roman"/>
        </w:rPr>
        <w:t>岗位、权限和职责（见5.2.6）；</w:t>
      </w:r>
    </w:p>
    <w:p w14:paraId="587AEBD0">
      <w:pPr>
        <w:pStyle w:val="134"/>
        <w:rPr>
          <w:rFonts w:ascii="Times New Roman"/>
        </w:rPr>
      </w:pPr>
      <w:r>
        <w:rPr>
          <w:rFonts w:ascii="Times New Roman"/>
        </w:rPr>
        <w:t>沟通（见5.2.7）；</w:t>
      </w:r>
    </w:p>
    <w:p w14:paraId="603C3B1A">
      <w:pPr>
        <w:pStyle w:val="134"/>
        <w:rPr>
          <w:rFonts w:ascii="Times New Roman"/>
        </w:rPr>
      </w:pPr>
      <w:r>
        <w:rPr>
          <w:rFonts w:ascii="Times New Roman"/>
        </w:rPr>
        <w:t>成文信息（见5.2.8）；</w:t>
      </w:r>
    </w:p>
    <w:p w14:paraId="7184A5C7">
      <w:pPr>
        <w:pStyle w:val="134"/>
        <w:rPr>
          <w:rFonts w:ascii="Times New Roman"/>
        </w:rPr>
      </w:pPr>
      <w:r>
        <w:rPr>
          <w:rFonts w:ascii="Times New Roman"/>
        </w:rPr>
        <w:t>报告（见5.2.9）；</w:t>
      </w:r>
    </w:p>
    <w:p w14:paraId="7A844E51">
      <w:pPr>
        <w:pStyle w:val="134"/>
        <w:rPr>
          <w:rFonts w:ascii="Times New Roman"/>
        </w:rPr>
      </w:pPr>
      <w:r>
        <w:rPr>
          <w:rFonts w:ascii="Times New Roman"/>
        </w:rPr>
        <w:t>评价（见5.2.10）；</w:t>
      </w:r>
    </w:p>
    <w:p w14:paraId="0D021023">
      <w:pPr>
        <w:pStyle w:val="134"/>
        <w:rPr>
          <w:rFonts w:ascii="Times New Roman"/>
        </w:rPr>
      </w:pPr>
      <w:r>
        <w:rPr>
          <w:rFonts w:ascii="Times New Roman"/>
        </w:rPr>
        <w:t>持续改进（见5.2.11）。</w:t>
      </w:r>
    </w:p>
    <w:p w14:paraId="00F8D0C8">
      <w:pPr>
        <w:pStyle w:val="67"/>
        <w:spacing w:before="156" w:after="156"/>
        <w:rPr>
          <w:rFonts w:ascii="Times New Roman"/>
        </w:rPr>
      </w:pPr>
      <w:bookmarkStart w:id="108" w:name="_Toc169876108"/>
      <w:bookmarkStart w:id="109" w:name="_Toc219211599"/>
      <w:bookmarkStart w:id="110" w:name="_Toc169881578"/>
      <w:bookmarkStart w:id="111" w:name="_Toc219898313"/>
      <w:bookmarkStart w:id="112" w:name="_Toc220079906"/>
      <w:bookmarkStart w:id="113" w:name="_Toc219206743"/>
      <w:r>
        <w:rPr>
          <w:rFonts w:ascii="Times New Roman"/>
        </w:rPr>
        <w:t>安全目标</w:t>
      </w:r>
      <w:bookmarkEnd w:id="108"/>
      <w:bookmarkEnd w:id="109"/>
      <w:bookmarkEnd w:id="110"/>
      <w:bookmarkEnd w:id="111"/>
      <w:bookmarkEnd w:id="112"/>
      <w:bookmarkEnd w:id="113"/>
    </w:p>
    <w:p w14:paraId="67D853C0">
      <w:pPr>
        <w:pStyle w:val="58"/>
        <w:ind w:firstLine="420"/>
        <w:rPr>
          <w:rFonts w:ascii="Times New Roman"/>
        </w:rPr>
      </w:pPr>
      <w:r>
        <w:rPr>
          <w:rFonts w:ascii="Times New Roman"/>
        </w:rPr>
        <w:t>组织为安全</w:t>
      </w:r>
      <w:r>
        <w:rPr>
          <w:rFonts w:hint="eastAsia" w:ascii="Times New Roman"/>
        </w:rPr>
        <w:t>计划</w:t>
      </w:r>
      <w:r>
        <w:rPr>
          <w:rFonts w:ascii="Times New Roman"/>
        </w:rPr>
        <w:t>确定安全目标时</w:t>
      </w:r>
      <w:r>
        <w:rPr>
          <w:rFonts w:hint="eastAsia" w:ascii="Times New Roman"/>
        </w:rPr>
        <w:t>宜</w:t>
      </w:r>
      <w:r>
        <w:rPr>
          <w:rFonts w:ascii="Times New Roman"/>
        </w:rPr>
        <w:t>考虑：</w:t>
      </w:r>
    </w:p>
    <w:p w14:paraId="02A75ECA">
      <w:pPr>
        <w:pStyle w:val="134"/>
        <w:rPr>
          <w:rFonts w:ascii="Times New Roman"/>
        </w:rPr>
      </w:pPr>
      <w:r>
        <w:rPr>
          <w:rFonts w:ascii="Times New Roman"/>
        </w:rPr>
        <w:t>更广泛的</w:t>
      </w:r>
      <w:r>
        <w:rPr>
          <w:rFonts w:hint="eastAsia" w:ascii="Times New Roman"/>
        </w:rPr>
        <w:t>业务</w:t>
      </w:r>
      <w:r>
        <w:rPr>
          <w:rFonts w:ascii="Times New Roman"/>
        </w:rPr>
        <w:t>目标和优先</w:t>
      </w:r>
      <w:r>
        <w:rPr>
          <w:rFonts w:hint="eastAsia" w:ascii="Times New Roman"/>
        </w:rPr>
        <w:t>事项</w:t>
      </w:r>
      <w:r>
        <w:rPr>
          <w:rFonts w:ascii="Times New Roman"/>
        </w:rPr>
        <w:t>；</w:t>
      </w:r>
    </w:p>
    <w:p w14:paraId="3512E030">
      <w:pPr>
        <w:pStyle w:val="134"/>
        <w:rPr>
          <w:rFonts w:ascii="Times New Roman"/>
        </w:rPr>
      </w:pPr>
      <w:r>
        <w:rPr>
          <w:rFonts w:hint="eastAsia" w:ascii="Times New Roman"/>
        </w:rPr>
        <w:t>防护安全</w:t>
      </w:r>
      <w:r>
        <w:rPr>
          <w:rFonts w:ascii="Times New Roman"/>
        </w:rPr>
        <w:t>框架；</w:t>
      </w:r>
    </w:p>
    <w:p w14:paraId="4E430B9D">
      <w:pPr>
        <w:pStyle w:val="134"/>
        <w:rPr>
          <w:rFonts w:ascii="Times New Roman"/>
        </w:rPr>
      </w:pPr>
      <w:r>
        <w:rPr>
          <w:rFonts w:ascii="Times New Roman"/>
        </w:rPr>
        <w:t>相关安全方针；</w:t>
      </w:r>
    </w:p>
    <w:p w14:paraId="25A0575A">
      <w:pPr>
        <w:pStyle w:val="134"/>
        <w:rPr>
          <w:rFonts w:ascii="Times New Roman"/>
        </w:rPr>
      </w:pPr>
      <w:r>
        <w:rPr>
          <w:rFonts w:ascii="Times New Roman"/>
        </w:rPr>
        <w:t>安全风险；</w:t>
      </w:r>
    </w:p>
    <w:p w14:paraId="7CCE5DA6">
      <w:pPr>
        <w:pStyle w:val="67"/>
        <w:spacing w:before="156" w:after="156"/>
        <w:rPr>
          <w:rFonts w:ascii="Times New Roman"/>
        </w:rPr>
      </w:pPr>
      <w:bookmarkStart w:id="114" w:name="_Toc219211600"/>
      <w:bookmarkStart w:id="115" w:name="_Toc169881579"/>
      <w:bookmarkStart w:id="116" w:name="_Toc219898314"/>
      <w:bookmarkStart w:id="117" w:name="_Toc169876109"/>
      <w:bookmarkStart w:id="118" w:name="_Toc220079907"/>
      <w:bookmarkStart w:id="119" w:name="_Toc219206744"/>
      <w:r>
        <w:rPr>
          <w:rFonts w:ascii="Times New Roman"/>
        </w:rPr>
        <w:t>安全</w:t>
      </w:r>
      <w:r>
        <w:rPr>
          <w:rFonts w:hint="eastAsia" w:ascii="Times New Roman"/>
        </w:rPr>
        <w:t>计划</w:t>
      </w:r>
      <w:r>
        <w:rPr>
          <w:rFonts w:ascii="Times New Roman"/>
        </w:rPr>
        <w:t>范围</w:t>
      </w:r>
      <w:bookmarkEnd w:id="114"/>
      <w:bookmarkEnd w:id="115"/>
      <w:bookmarkEnd w:id="116"/>
      <w:bookmarkEnd w:id="117"/>
      <w:bookmarkEnd w:id="118"/>
      <w:bookmarkEnd w:id="119"/>
    </w:p>
    <w:p w14:paraId="45B043CB">
      <w:pPr>
        <w:pStyle w:val="58"/>
        <w:ind w:firstLine="420"/>
        <w:rPr>
          <w:rFonts w:ascii="Times New Roman"/>
        </w:rPr>
      </w:pPr>
      <w:r>
        <w:rPr>
          <w:rFonts w:ascii="Times New Roman"/>
        </w:rPr>
        <w:t>组织</w:t>
      </w:r>
      <w:r>
        <w:rPr>
          <w:rFonts w:hint="eastAsia" w:ascii="Times New Roman"/>
        </w:rPr>
        <w:t>宜</w:t>
      </w:r>
      <w:r>
        <w:rPr>
          <w:rFonts w:ascii="Times New Roman"/>
        </w:rPr>
        <w:t>确定安全</w:t>
      </w:r>
      <w:r>
        <w:rPr>
          <w:rFonts w:hint="eastAsia" w:ascii="Times New Roman"/>
        </w:rPr>
        <w:t>计划</w:t>
      </w:r>
      <w:r>
        <w:rPr>
          <w:rFonts w:ascii="Times New Roman"/>
        </w:rPr>
        <w:t>的界限和适用性，以建立其范围</w:t>
      </w:r>
      <w:r>
        <w:rPr>
          <w:rFonts w:hint="eastAsia" w:ascii="Times New Roman"/>
        </w:rPr>
        <w:t>，</w:t>
      </w:r>
      <w:r>
        <w:rPr>
          <w:rFonts w:ascii="Times New Roman"/>
        </w:rPr>
        <w:t>这包括决定安全</w:t>
      </w:r>
      <w:r>
        <w:rPr>
          <w:rFonts w:hint="eastAsia" w:ascii="Times New Roman"/>
        </w:rPr>
        <w:t>计划</w:t>
      </w:r>
      <w:r>
        <w:rPr>
          <w:rFonts w:ascii="Times New Roman"/>
        </w:rPr>
        <w:t>是否适用于</w:t>
      </w:r>
      <w:r>
        <w:rPr>
          <w:rFonts w:hint="eastAsia" w:ascii="Times New Roman"/>
        </w:rPr>
        <w:t>整个或部分</w:t>
      </w:r>
      <w:r>
        <w:rPr>
          <w:rFonts w:ascii="Times New Roman"/>
        </w:rPr>
        <w:t>组织，</w:t>
      </w:r>
      <w:r>
        <w:rPr>
          <w:rFonts w:hint="eastAsia" w:ascii="Times New Roman"/>
        </w:rPr>
        <w:t>还</w:t>
      </w:r>
      <w:r>
        <w:rPr>
          <w:rFonts w:ascii="Times New Roman"/>
        </w:rPr>
        <w:t>是仅适用于</w:t>
      </w:r>
      <w:r>
        <w:rPr>
          <w:rFonts w:hint="eastAsia" w:ascii="Times New Roman"/>
        </w:rPr>
        <w:t>某个</w:t>
      </w:r>
      <w:r>
        <w:rPr>
          <w:rFonts w:ascii="Times New Roman"/>
        </w:rPr>
        <w:t>项目的特定</w:t>
      </w:r>
      <w:r>
        <w:rPr>
          <w:rFonts w:hint="eastAsia" w:ascii="Times New Roman"/>
        </w:rPr>
        <w:t>阶段</w:t>
      </w:r>
      <w:r>
        <w:rPr>
          <w:rFonts w:ascii="Times New Roman"/>
        </w:rPr>
        <w:t>。安全</w:t>
      </w:r>
      <w:r>
        <w:rPr>
          <w:rFonts w:hint="eastAsia" w:ascii="Times New Roman"/>
        </w:rPr>
        <w:t>计划</w:t>
      </w:r>
      <w:r>
        <w:rPr>
          <w:rFonts w:ascii="Times New Roman"/>
        </w:rPr>
        <w:t>范围</w:t>
      </w:r>
      <w:r>
        <w:rPr>
          <w:rFonts w:hint="eastAsia" w:ascii="Times New Roman"/>
        </w:rPr>
        <w:t>还宜</w:t>
      </w:r>
      <w:r>
        <w:rPr>
          <w:rFonts w:ascii="Times New Roman"/>
        </w:rPr>
        <w:t>考虑</w:t>
      </w:r>
      <w:r>
        <w:rPr>
          <w:rFonts w:hint="eastAsia" w:ascii="Times New Roman"/>
        </w:rPr>
        <w:t>与</w:t>
      </w:r>
      <w:r>
        <w:rPr>
          <w:rFonts w:ascii="Times New Roman"/>
        </w:rPr>
        <w:t>安全威胁或</w:t>
      </w:r>
      <w:r>
        <w:rPr>
          <w:rFonts w:hint="eastAsia" w:ascii="Times New Roman"/>
        </w:rPr>
        <w:t>违反</w:t>
      </w:r>
      <w:r>
        <w:rPr>
          <w:rFonts w:ascii="Times New Roman"/>
        </w:rPr>
        <w:t>安全规</w:t>
      </w:r>
      <w:r>
        <w:rPr>
          <w:rFonts w:hint="eastAsia" w:ascii="Times New Roman"/>
        </w:rPr>
        <w:t>定</w:t>
      </w:r>
      <w:r>
        <w:rPr>
          <w:rFonts w:ascii="Times New Roman"/>
        </w:rPr>
        <w:t>相关的</w:t>
      </w:r>
      <w:r>
        <w:rPr>
          <w:rFonts w:hint="eastAsia" w:ascii="Times New Roman"/>
        </w:rPr>
        <w:t>其</w:t>
      </w:r>
      <w:r>
        <w:rPr>
          <w:rFonts w:ascii="Times New Roman"/>
        </w:rPr>
        <w:t>他组织风险管理过程。安全</w:t>
      </w:r>
      <w:r>
        <w:rPr>
          <w:rFonts w:hint="eastAsia" w:ascii="Times New Roman"/>
        </w:rPr>
        <w:t>计划</w:t>
      </w:r>
      <w:r>
        <w:rPr>
          <w:rFonts w:ascii="Times New Roman"/>
        </w:rPr>
        <w:t>范围</w:t>
      </w:r>
      <w:r>
        <w:rPr>
          <w:rFonts w:hint="eastAsia" w:ascii="Times New Roman"/>
        </w:rPr>
        <w:t>宜</w:t>
      </w:r>
      <w:r>
        <w:rPr>
          <w:rFonts w:ascii="Times New Roman"/>
        </w:rPr>
        <w:t>考虑几个准则，包括：</w:t>
      </w:r>
    </w:p>
    <w:p w14:paraId="40968CD2">
      <w:pPr>
        <w:pStyle w:val="134"/>
        <w:rPr>
          <w:rFonts w:ascii="Times New Roman"/>
        </w:rPr>
      </w:pPr>
      <w:r>
        <w:rPr>
          <w:rFonts w:ascii="Times New Roman"/>
        </w:rPr>
        <w:t>组织运行的使命和特征；</w:t>
      </w:r>
    </w:p>
    <w:p w14:paraId="5C34AA0A">
      <w:pPr>
        <w:pStyle w:val="134"/>
        <w:rPr>
          <w:rFonts w:ascii="Times New Roman"/>
        </w:rPr>
      </w:pPr>
      <w:r>
        <w:rPr>
          <w:rFonts w:ascii="Times New Roman"/>
        </w:rPr>
        <w:t>内外部因素；</w:t>
      </w:r>
    </w:p>
    <w:p w14:paraId="4D6A6FAB">
      <w:pPr>
        <w:pStyle w:val="134"/>
        <w:rPr>
          <w:rFonts w:ascii="Times New Roman"/>
        </w:rPr>
      </w:pPr>
      <w:r>
        <w:rPr>
          <w:rFonts w:ascii="Times New Roman"/>
        </w:rPr>
        <w:t>相关人员（包括外部人员）；</w:t>
      </w:r>
    </w:p>
    <w:p w14:paraId="24AEF67A">
      <w:pPr>
        <w:pStyle w:val="134"/>
        <w:rPr>
          <w:rFonts w:ascii="Times New Roman"/>
        </w:rPr>
      </w:pPr>
      <w:r>
        <w:rPr>
          <w:rFonts w:ascii="Times New Roman"/>
        </w:rPr>
        <w:t>受保护的有形和无形资产；</w:t>
      </w:r>
    </w:p>
    <w:p w14:paraId="4067CEA7">
      <w:pPr>
        <w:pStyle w:val="134"/>
        <w:rPr>
          <w:rFonts w:ascii="Times New Roman"/>
        </w:rPr>
      </w:pPr>
      <w:r>
        <w:rPr>
          <w:rFonts w:ascii="Times New Roman"/>
        </w:rPr>
        <w:t>组织所在的地点和空间；</w:t>
      </w:r>
    </w:p>
    <w:p w14:paraId="56EE73D3">
      <w:pPr>
        <w:pStyle w:val="134"/>
        <w:rPr>
          <w:rFonts w:ascii="Times New Roman"/>
        </w:rPr>
      </w:pPr>
      <w:r>
        <w:rPr>
          <w:rFonts w:ascii="Times New Roman"/>
        </w:rPr>
        <w:t>组织设施外的</w:t>
      </w:r>
      <w:r>
        <w:rPr>
          <w:rFonts w:hint="eastAsia" w:ascii="Times New Roman"/>
        </w:rPr>
        <w:t>出行</w:t>
      </w:r>
      <w:r>
        <w:rPr>
          <w:rFonts w:ascii="Times New Roman"/>
        </w:rPr>
        <w:t>或活动场所（如有必要）；</w:t>
      </w:r>
    </w:p>
    <w:p w14:paraId="76FCD196">
      <w:pPr>
        <w:pStyle w:val="134"/>
        <w:rPr>
          <w:rFonts w:ascii="Times New Roman"/>
        </w:rPr>
      </w:pPr>
      <w:r>
        <w:rPr>
          <w:rFonts w:ascii="Times New Roman"/>
        </w:rPr>
        <w:t>活动性质</w:t>
      </w:r>
      <w:r>
        <w:rPr>
          <w:rFonts w:hint="eastAsia" w:ascii="Times New Roman"/>
        </w:rPr>
        <w:t>及其与</w:t>
      </w:r>
      <w:r>
        <w:rPr>
          <w:rFonts w:ascii="Times New Roman"/>
        </w:rPr>
        <w:t>安全方面</w:t>
      </w:r>
      <w:r>
        <w:rPr>
          <w:rFonts w:hint="eastAsia" w:ascii="Times New Roman"/>
        </w:rPr>
        <w:t>的关联</w:t>
      </w:r>
      <w:r>
        <w:rPr>
          <w:rFonts w:ascii="Times New Roman"/>
        </w:rPr>
        <w:t>；</w:t>
      </w:r>
    </w:p>
    <w:p w14:paraId="6A958E65">
      <w:pPr>
        <w:pStyle w:val="134"/>
        <w:rPr>
          <w:rFonts w:ascii="Times New Roman"/>
        </w:rPr>
      </w:pPr>
      <w:r>
        <w:rPr>
          <w:rFonts w:ascii="Times New Roman"/>
        </w:rPr>
        <w:t>任何其他相关准则。</w:t>
      </w:r>
    </w:p>
    <w:p w14:paraId="094E1E4E">
      <w:pPr>
        <w:pStyle w:val="58"/>
        <w:ind w:firstLine="420"/>
        <w:rPr>
          <w:rFonts w:ascii="Times New Roman"/>
        </w:rPr>
      </w:pPr>
      <w:r>
        <w:rPr>
          <w:rFonts w:ascii="Times New Roman"/>
        </w:rPr>
        <w:t>此外，安全</w:t>
      </w:r>
      <w:r>
        <w:rPr>
          <w:rFonts w:hint="eastAsia" w:ascii="Times New Roman"/>
        </w:rPr>
        <w:t>计划宜说明</w:t>
      </w:r>
      <w:r>
        <w:rPr>
          <w:rFonts w:ascii="Times New Roman"/>
        </w:rPr>
        <w:t>任何适用的例外情况。安全</w:t>
      </w:r>
      <w:r>
        <w:rPr>
          <w:rFonts w:hint="eastAsia" w:ascii="Times New Roman"/>
        </w:rPr>
        <w:t>计划</w:t>
      </w:r>
      <w:r>
        <w:rPr>
          <w:rFonts w:ascii="Times New Roman"/>
        </w:rPr>
        <w:t>的范围</w:t>
      </w:r>
      <w:r>
        <w:rPr>
          <w:rFonts w:hint="eastAsia" w:ascii="Times New Roman"/>
        </w:rPr>
        <w:t>宜基于须知进行</w:t>
      </w:r>
      <w:r>
        <w:rPr>
          <w:rFonts w:ascii="Times New Roman"/>
        </w:rPr>
        <w:t>提供。</w:t>
      </w:r>
    </w:p>
    <w:p w14:paraId="4CC1D329">
      <w:pPr>
        <w:pStyle w:val="67"/>
        <w:spacing w:before="156" w:after="156"/>
        <w:rPr>
          <w:rFonts w:ascii="Times New Roman"/>
        </w:rPr>
      </w:pPr>
      <w:bookmarkStart w:id="120" w:name="_Toc219898315"/>
      <w:bookmarkStart w:id="121" w:name="_Toc169876110"/>
      <w:bookmarkStart w:id="122" w:name="_Toc220079908"/>
      <w:bookmarkStart w:id="123" w:name="_Toc219206745"/>
      <w:bookmarkStart w:id="124" w:name="_Toc169881580"/>
      <w:bookmarkStart w:id="125" w:name="_Toc219211601"/>
      <w:r>
        <w:rPr>
          <w:rFonts w:ascii="Times New Roman"/>
        </w:rPr>
        <w:t>领导作用</w:t>
      </w:r>
      <w:bookmarkEnd w:id="120"/>
      <w:bookmarkEnd w:id="121"/>
      <w:bookmarkEnd w:id="122"/>
      <w:bookmarkEnd w:id="123"/>
      <w:bookmarkEnd w:id="124"/>
      <w:bookmarkEnd w:id="125"/>
    </w:p>
    <w:p w14:paraId="640DA620">
      <w:pPr>
        <w:pStyle w:val="58"/>
        <w:ind w:firstLine="420"/>
        <w:rPr>
          <w:rFonts w:ascii="Times New Roman"/>
        </w:rPr>
      </w:pPr>
      <w:r>
        <w:rPr>
          <w:rFonts w:ascii="Times New Roman"/>
        </w:rPr>
        <w:t>最高管理者</w:t>
      </w:r>
      <w:r>
        <w:rPr>
          <w:rFonts w:hint="eastAsia" w:ascii="Times New Roman"/>
        </w:rPr>
        <w:t>宜</w:t>
      </w:r>
      <w:r>
        <w:rPr>
          <w:rFonts w:ascii="Times New Roman"/>
        </w:rPr>
        <w:t>：</w:t>
      </w:r>
    </w:p>
    <w:p w14:paraId="1CEB219A">
      <w:pPr>
        <w:pStyle w:val="134"/>
        <w:rPr>
          <w:rFonts w:ascii="Times New Roman"/>
        </w:rPr>
      </w:pPr>
      <w:r>
        <w:rPr>
          <w:rFonts w:ascii="Times New Roman"/>
        </w:rPr>
        <w:t>明确安全</w:t>
      </w:r>
      <w:r>
        <w:rPr>
          <w:rFonts w:hint="eastAsia" w:ascii="Times New Roman"/>
        </w:rPr>
        <w:t>计划</w:t>
      </w:r>
      <w:r>
        <w:rPr>
          <w:rFonts w:ascii="Times New Roman"/>
        </w:rPr>
        <w:t>及其管理的领导</w:t>
      </w:r>
      <w:r>
        <w:rPr>
          <w:rFonts w:hint="eastAsia" w:ascii="Times New Roman"/>
        </w:rPr>
        <w:t>责任</w:t>
      </w:r>
      <w:r>
        <w:rPr>
          <w:rFonts w:ascii="Times New Roman"/>
        </w:rPr>
        <w:t>，包括将安全计划制定、维护和执行的职责分配给组织的</w:t>
      </w:r>
      <w:r>
        <w:rPr>
          <w:rFonts w:hint="eastAsia" w:ascii="Times New Roman"/>
        </w:rPr>
        <w:t>安全职能</w:t>
      </w:r>
      <w:r>
        <w:rPr>
          <w:rFonts w:ascii="Times New Roman"/>
        </w:rPr>
        <w:t>部门，并对</w:t>
      </w:r>
      <w:r>
        <w:rPr>
          <w:rFonts w:hint="eastAsia" w:ascii="Times New Roman"/>
        </w:rPr>
        <w:t>其履职</w:t>
      </w:r>
      <w:r>
        <w:rPr>
          <w:rFonts w:ascii="Times New Roman"/>
        </w:rPr>
        <w:t>表现进行问责；</w:t>
      </w:r>
    </w:p>
    <w:p w14:paraId="5A8D3A6A">
      <w:pPr>
        <w:pStyle w:val="134"/>
        <w:rPr>
          <w:rFonts w:ascii="Times New Roman"/>
        </w:rPr>
      </w:pPr>
      <w:r>
        <w:rPr>
          <w:rFonts w:ascii="Times New Roman"/>
        </w:rPr>
        <w:t>确保安全</w:t>
      </w:r>
      <w:r>
        <w:rPr>
          <w:rFonts w:hint="eastAsia" w:ascii="Times New Roman"/>
        </w:rPr>
        <w:t>计划的</w:t>
      </w:r>
      <w:r>
        <w:rPr>
          <w:rFonts w:ascii="Times New Roman"/>
        </w:rPr>
        <w:t>指导</w:t>
      </w:r>
      <w:r>
        <w:rPr>
          <w:rFonts w:hint="eastAsia" w:ascii="Times New Roman"/>
        </w:rPr>
        <w:t>性</w:t>
      </w:r>
      <w:r>
        <w:rPr>
          <w:rFonts w:ascii="Times New Roman"/>
        </w:rPr>
        <w:t>，即最高管理者</w:t>
      </w:r>
      <w:r>
        <w:rPr>
          <w:rFonts w:hint="eastAsia" w:ascii="Times New Roman"/>
        </w:rPr>
        <w:t>能够获得</w:t>
      </w:r>
      <w:r>
        <w:rPr>
          <w:rFonts w:ascii="Times New Roman"/>
        </w:rPr>
        <w:t>关于组织安全状况的适当报告和评审，并</w:t>
      </w:r>
      <w:r>
        <w:rPr>
          <w:rFonts w:hint="eastAsia" w:ascii="Times New Roman"/>
        </w:rPr>
        <w:t>据此</w:t>
      </w:r>
      <w:r>
        <w:rPr>
          <w:rFonts w:ascii="Times New Roman"/>
        </w:rPr>
        <w:t>采取改进</w:t>
      </w:r>
      <w:r>
        <w:rPr>
          <w:rFonts w:hint="eastAsia" w:ascii="Times New Roman"/>
        </w:rPr>
        <w:t>措施</w:t>
      </w:r>
      <w:r>
        <w:rPr>
          <w:rFonts w:ascii="Times New Roman"/>
        </w:rPr>
        <w:t>；</w:t>
      </w:r>
    </w:p>
    <w:p w14:paraId="3F5D8BFF">
      <w:pPr>
        <w:pStyle w:val="134"/>
        <w:rPr>
          <w:rFonts w:ascii="Times New Roman"/>
        </w:rPr>
      </w:pPr>
      <w:r>
        <w:rPr>
          <w:rFonts w:ascii="Times New Roman"/>
        </w:rPr>
        <w:t>在制定安全</w:t>
      </w:r>
      <w:r>
        <w:rPr>
          <w:rFonts w:hint="eastAsia" w:ascii="Times New Roman"/>
        </w:rPr>
        <w:t>计划</w:t>
      </w:r>
      <w:r>
        <w:rPr>
          <w:rFonts w:ascii="Times New Roman"/>
        </w:rPr>
        <w:t>时，与</w:t>
      </w:r>
      <w:r>
        <w:rPr>
          <w:rFonts w:ascii="Times New Roman"/>
          <w:highlight w:val="none"/>
        </w:rPr>
        <w:t>资产</w:t>
      </w:r>
      <w:r>
        <w:rPr>
          <w:rFonts w:hint="eastAsia" w:ascii="Times New Roman"/>
          <w:highlight w:val="none"/>
          <w:lang w:val="en-US" w:eastAsia="zh-CN"/>
        </w:rPr>
        <w:t>所有者</w:t>
      </w:r>
      <w:r>
        <w:rPr>
          <w:rFonts w:ascii="Times New Roman"/>
        </w:rPr>
        <w:t>和相关安全管理人员进行协调，确保</w:t>
      </w:r>
      <w:r>
        <w:rPr>
          <w:rFonts w:hint="eastAsia" w:ascii="Times New Roman"/>
        </w:rPr>
        <w:t>安全计划</w:t>
      </w:r>
      <w:r>
        <w:rPr>
          <w:rFonts w:ascii="Times New Roman"/>
        </w:rPr>
        <w:t>支持组织的总体目标；</w:t>
      </w:r>
    </w:p>
    <w:p w14:paraId="607C911D">
      <w:pPr>
        <w:pStyle w:val="134"/>
        <w:rPr>
          <w:rFonts w:ascii="Times New Roman"/>
        </w:rPr>
      </w:pPr>
      <w:r>
        <w:rPr>
          <w:rFonts w:ascii="Times New Roman"/>
        </w:rPr>
        <w:t>向组织其他成员传达其安全承诺，以</w:t>
      </w:r>
      <w:r>
        <w:rPr>
          <w:rFonts w:hint="eastAsia" w:ascii="Times New Roman"/>
        </w:rPr>
        <w:t>凝聚安全共识</w:t>
      </w:r>
      <w:r>
        <w:rPr>
          <w:rFonts w:ascii="Times New Roman"/>
        </w:rPr>
        <w:t>。</w:t>
      </w:r>
    </w:p>
    <w:p w14:paraId="4DF44ADA">
      <w:pPr>
        <w:pStyle w:val="134"/>
        <w:rPr>
          <w:rFonts w:ascii="Times New Roman"/>
        </w:rPr>
      </w:pPr>
      <w:r>
        <w:rPr>
          <w:rFonts w:hint="eastAsia" w:ascii="Times New Roman"/>
        </w:rPr>
        <w:t>为</w:t>
      </w:r>
      <w:r>
        <w:rPr>
          <w:rFonts w:ascii="Times New Roman"/>
        </w:rPr>
        <w:t>安全</w:t>
      </w:r>
      <w:r>
        <w:rPr>
          <w:rFonts w:hint="eastAsia" w:ascii="Times New Roman"/>
        </w:rPr>
        <w:t>计划的</w:t>
      </w:r>
      <w:r>
        <w:rPr>
          <w:rFonts w:ascii="Times New Roman"/>
        </w:rPr>
        <w:t>实施提供所需的资源。</w:t>
      </w:r>
    </w:p>
    <w:p w14:paraId="101B8068">
      <w:pPr>
        <w:pStyle w:val="67"/>
        <w:spacing w:before="156" w:after="156"/>
        <w:rPr>
          <w:rFonts w:ascii="Times New Roman"/>
        </w:rPr>
      </w:pPr>
      <w:bookmarkStart w:id="126" w:name="_Toc169876111"/>
      <w:bookmarkStart w:id="127" w:name="_Toc219206746"/>
      <w:bookmarkStart w:id="128" w:name="_Toc219211602"/>
      <w:bookmarkStart w:id="129" w:name="_Toc220079909"/>
      <w:bookmarkStart w:id="130" w:name="_Toc219898316"/>
      <w:bookmarkStart w:id="131" w:name="_Toc169881581"/>
      <w:r>
        <w:rPr>
          <w:rFonts w:ascii="Times New Roman"/>
        </w:rPr>
        <w:t>法律法规</w:t>
      </w:r>
      <w:bookmarkEnd w:id="126"/>
      <w:bookmarkEnd w:id="127"/>
      <w:bookmarkEnd w:id="128"/>
      <w:bookmarkEnd w:id="129"/>
      <w:bookmarkEnd w:id="130"/>
      <w:bookmarkEnd w:id="131"/>
    </w:p>
    <w:p w14:paraId="770206E2">
      <w:pPr>
        <w:pStyle w:val="58"/>
        <w:ind w:firstLine="420"/>
        <w:rPr>
          <w:rFonts w:ascii="Times New Roman"/>
        </w:rPr>
      </w:pPr>
      <w:r>
        <w:rPr>
          <w:rFonts w:ascii="Times New Roman"/>
        </w:rPr>
        <w:t>组织</w:t>
      </w:r>
      <w:r>
        <w:rPr>
          <w:rFonts w:hint="eastAsia" w:ascii="Times New Roman"/>
        </w:rPr>
        <w:t>宜</w:t>
      </w:r>
      <w:r>
        <w:rPr>
          <w:rFonts w:ascii="Times New Roman"/>
        </w:rPr>
        <w:t>识别任何适用的法律法规和合同义务</w:t>
      </w:r>
      <w:r>
        <w:rPr>
          <w:rFonts w:hint="eastAsia" w:ascii="Times New Roman"/>
        </w:rPr>
        <w:t>，并</w:t>
      </w:r>
      <w:r>
        <w:rPr>
          <w:rFonts w:ascii="Times New Roman"/>
        </w:rPr>
        <w:t>在实施安全</w:t>
      </w:r>
      <w:r>
        <w:rPr>
          <w:rFonts w:hint="eastAsia" w:ascii="Times New Roman"/>
        </w:rPr>
        <w:t>计划</w:t>
      </w:r>
      <w:r>
        <w:rPr>
          <w:rFonts w:ascii="Times New Roman"/>
        </w:rPr>
        <w:t>时</w:t>
      </w:r>
      <w:r>
        <w:rPr>
          <w:rFonts w:hint="eastAsia" w:ascii="Times New Roman"/>
        </w:rPr>
        <w:t>予以充分</w:t>
      </w:r>
      <w:r>
        <w:rPr>
          <w:rFonts w:ascii="Times New Roman"/>
        </w:rPr>
        <w:t>考虑。组织</w:t>
      </w:r>
      <w:r>
        <w:rPr>
          <w:rFonts w:hint="eastAsia" w:ascii="Times New Roman"/>
        </w:rPr>
        <w:t>宜</w:t>
      </w:r>
      <w:r>
        <w:rPr>
          <w:rFonts w:ascii="Times New Roman"/>
        </w:rPr>
        <w:t>与</w:t>
      </w:r>
      <w:r>
        <w:rPr>
          <w:rFonts w:hint="eastAsia" w:ascii="Times New Roman"/>
        </w:rPr>
        <w:t>相关主管部门</w:t>
      </w:r>
      <w:r>
        <w:rPr>
          <w:rFonts w:ascii="Times New Roman"/>
        </w:rPr>
        <w:t>保持</w:t>
      </w:r>
      <w:r>
        <w:rPr>
          <w:rFonts w:hint="eastAsia" w:ascii="Times New Roman"/>
        </w:rPr>
        <w:t>沟通</w:t>
      </w:r>
      <w:r>
        <w:rPr>
          <w:rFonts w:ascii="Times New Roman"/>
        </w:rPr>
        <w:t>，并</w:t>
      </w:r>
      <w:r>
        <w:rPr>
          <w:rFonts w:hint="eastAsia" w:ascii="Times New Roman"/>
        </w:rPr>
        <w:t>及时报告</w:t>
      </w:r>
      <w:r>
        <w:rPr>
          <w:rFonts w:ascii="Times New Roman"/>
        </w:rPr>
        <w:t>职责、规定和其他关键要素。</w:t>
      </w:r>
    </w:p>
    <w:p w14:paraId="7716390A">
      <w:pPr>
        <w:pStyle w:val="67"/>
        <w:spacing w:before="156" w:after="156"/>
        <w:rPr>
          <w:rFonts w:ascii="Times New Roman"/>
        </w:rPr>
      </w:pPr>
      <w:bookmarkStart w:id="132" w:name="_Toc219211603"/>
      <w:bookmarkStart w:id="133" w:name="_Toc220079910"/>
      <w:bookmarkStart w:id="134" w:name="_Toc169881582"/>
      <w:bookmarkStart w:id="135" w:name="_Toc219206747"/>
      <w:bookmarkStart w:id="136" w:name="_Toc169876112"/>
      <w:bookmarkStart w:id="137" w:name="_Toc219898317"/>
      <w:r>
        <w:rPr>
          <w:rFonts w:ascii="Times New Roman"/>
        </w:rPr>
        <w:t>岗位、权限和职责</w:t>
      </w:r>
      <w:bookmarkEnd w:id="132"/>
      <w:bookmarkEnd w:id="133"/>
      <w:bookmarkEnd w:id="134"/>
      <w:bookmarkEnd w:id="135"/>
      <w:bookmarkEnd w:id="136"/>
      <w:bookmarkEnd w:id="137"/>
    </w:p>
    <w:p w14:paraId="059811B1">
      <w:pPr>
        <w:pStyle w:val="58"/>
        <w:ind w:firstLine="420"/>
        <w:rPr>
          <w:rFonts w:ascii="Times New Roman"/>
        </w:rPr>
      </w:pPr>
      <w:r>
        <w:rPr>
          <w:rFonts w:ascii="Times New Roman"/>
        </w:rPr>
        <w:t>组织</w:t>
      </w:r>
      <w:r>
        <w:rPr>
          <w:rFonts w:hint="eastAsia" w:ascii="Times New Roman"/>
        </w:rPr>
        <w:t>宜</w:t>
      </w:r>
      <w:r>
        <w:rPr>
          <w:rFonts w:ascii="Times New Roman"/>
        </w:rPr>
        <w:t>确定并记录完成安全</w:t>
      </w:r>
      <w:r>
        <w:rPr>
          <w:rFonts w:hint="eastAsia" w:ascii="Times New Roman"/>
        </w:rPr>
        <w:t>计划涉及</w:t>
      </w:r>
      <w:r>
        <w:rPr>
          <w:rFonts w:ascii="Times New Roman"/>
        </w:rPr>
        <w:t>的安全岗位、职责和</w:t>
      </w:r>
      <w:r>
        <w:rPr>
          <w:rFonts w:ascii="Times New Roman"/>
          <w:color w:val="000000" w:themeColor="text1"/>
          <w14:textFill>
            <w14:solidFill>
              <w14:schemeClr w14:val="tx1"/>
            </w14:solidFill>
          </w14:textFill>
        </w:rPr>
        <w:t>权限</w:t>
      </w:r>
      <w:r>
        <w:rPr>
          <w:rFonts w:ascii="Times New Roman"/>
        </w:rPr>
        <w:t>。这包括：</w:t>
      </w:r>
    </w:p>
    <w:p w14:paraId="3C757903">
      <w:pPr>
        <w:pStyle w:val="134"/>
        <w:rPr>
          <w:rFonts w:ascii="Times New Roman"/>
        </w:rPr>
      </w:pPr>
      <w:r>
        <w:rPr>
          <w:rFonts w:ascii="Times New Roman"/>
        </w:rPr>
        <w:t>完成</w:t>
      </w:r>
      <w:r>
        <w:rPr>
          <w:rFonts w:hint="eastAsia" w:ascii="Times New Roman"/>
        </w:rPr>
        <w:t>计划</w:t>
      </w:r>
      <w:r>
        <w:rPr>
          <w:rFonts w:ascii="Times New Roman"/>
        </w:rPr>
        <w:t>所需的技能；</w:t>
      </w:r>
    </w:p>
    <w:p w14:paraId="67205CEB">
      <w:pPr>
        <w:pStyle w:val="134"/>
        <w:rPr>
          <w:rFonts w:ascii="Times New Roman"/>
        </w:rPr>
      </w:pPr>
      <w:r>
        <w:rPr>
          <w:rFonts w:ascii="Times New Roman"/>
        </w:rPr>
        <w:t>为每个岗位分配和确定能力</w:t>
      </w:r>
      <w:r>
        <w:rPr>
          <w:rFonts w:hint="eastAsia" w:ascii="Times New Roman"/>
        </w:rPr>
        <w:t>等级</w:t>
      </w:r>
      <w:r>
        <w:rPr>
          <w:rFonts w:ascii="Times New Roman"/>
        </w:rPr>
        <w:t>；</w:t>
      </w:r>
    </w:p>
    <w:p w14:paraId="2D38460D">
      <w:pPr>
        <w:pStyle w:val="134"/>
        <w:rPr>
          <w:rFonts w:ascii="Times New Roman"/>
        </w:rPr>
      </w:pPr>
      <w:r>
        <w:rPr>
          <w:rFonts w:hint="eastAsia" w:ascii="Times New Roman"/>
        </w:rPr>
        <w:t>界定</w:t>
      </w:r>
      <w:r>
        <w:rPr>
          <w:rFonts w:ascii="Times New Roman"/>
        </w:rPr>
        <w:t>内部安全团队与外部利益相关方之间的关系。</w:t>
      </w:r>
    </w:p>
    <w:p w14:paraId="31688639">
      <w:pPr>
        <w:pStyle w:val="58"/>
        <w:ind w:firstLine="420"/>
        <w:rPr>
          <w:rFonts w:ascii="Times New Roman"/>
        </w:rPr>
      </w:pPr>
      <w:r>
        <w:rPr>
          <w:rFonts w:ascii="Times New Roman"/>
        </w:rPr>
        <w:t>安全</w:t>
      </w:r>
      <w:r>
        <w:rPr>
          <w:rFonts w:hint="eastAsia" w:ascii="Times New Roman"/>
        </w:rPr>
        <w:t>计划宜</w:t>
      </w:r>
      <w:r>
        <w:rPr>
          <w:rFonts w:ascii="Times New Roman"/>
        </w:rPr>
        <w:t>使安全治理安排与组织</w:t>
      </w:r>
      <w:r>
        <w:rPr>
          <w:rFonts w:hint="eastAsia" w:ascii="Times New Roman"/>
        </w:rPr>
        <w:t>整体</w:t>
      </w:r>
      <w:r>
        <w:rPr>
          <w:rFonts w:ascii="Times New Roman"/>
        </w:rPr>
        <w:t>治理保持一致。</w:t>
      </w:r>
      <w:r>
        <w:rPr>
          <w:rFonts w:hint="eastAsia" w:ascii="Times New Roman"/>
        </w:rPr>
        <w:t>宜</w:t>
      </w:r>
      <w:r>
        <w:rPr>
          <w:rFonts w:ascii="Times New Roman"/>
        </w:rPr>
        <w:t>确定</w:t>
      </w:r>
      <w:r>
        <w:rPr>
          <w:rFonts w:hint="eastAsia" w:ascii="Times New Roman"/>
        </w:rPr>
        <w:t>界定</w:t>
      </w:r>
      <w:r>
        <w:rPr>
          <w:rFonts w:ascii="Times New Roman"/>
        </w:rPr>
        <w:t>与</w:t>
      </w:r>
      <w:r>
        <w:rPr>
          <w:rFonts w:hint="eastAsia" w:ascii="Times New Roman"/>
        </w:rPr>
        <w:t>承担</w:t>
      </w:r>
      <w:r>
        <w:rPr>
          <w:rFonts w:ascii="Times New Roman"/>
        </w:rPr>
        <w:t>治理岗位的外部安全机构的关系。</w:t>
      </w:r>
      <w:r>
        <w:rPr>
          <w:rFonts w:hint="eastAsia" w:ascii="Times New Roman"/>
        </w:rPr>
        <w:t>对既定安全规定的例外事项宜予以</w:t>
      </w:r>
      <w:r>
        <w:rPr>
          <w:rFonts w:ascii="Times New Roman"/>
        </w:rPr>
        <w:t>列出、记录和评审。</w:t>
      </w:r>
    </w:p>
    <w:p w14:paraId="098D6179">
      <w:pPr>
        <w:pStyle w:val="67"/>
        <w:spacing w:before="156" w:after="156"/>
        <w:rPr>
          <w:rFonts w:ascii="Times New Roman"/>
        </w:rPr>
      </w:pPr>
      <w:bookmarkStart w:id="138" w:name="_Toc219211604"/>
      <w:bookmarkStart w:id="139" w:name="_Toc219898318"/>
      <w:bookmarkStart w:id="140" w:name="_Toc220079911"/>
      <w:bookmarkStart w:id="141" w:name="_Toc169881583"/>
      <w:bookmarkStart w:id="142" w:name="_Toc169876113"/>
      <w:bookmarkStart w:id="143" w:name="_Toc219206748"/>
      <w:r>
        <w:rPr>
          <w:rFonts w:ascii="Times New Roman"/>
        </w:rPr>
        <w:t>沟通</w:t>
      </w:r>
      <w:bookmarkEnd w:id="138"/>
      <w:bookmarkEnd w:id="139"/>
      <w:bookmarkEnd w:id="140"/>
      <w:bookmarkEnd w:id="141"/>
      <w:bookmarkEnd w:id="142"/>
      <w:bookmarkEnd w:id="143"/>
    </w:p>
    <w:p w14:paraId="14ECA0D0">
      <w:pPr>
        <w:pStyle w:val="58"/>
        <w:ind w:firstLine="420"/>
        <w:rPr>
          <w:rFonts w:ascii="Times New Roman"/>
        </w:rPr>
      </w:pPr>
      <w:r>
        <w:rPr>
          <w:rFonts w:ascii="Times New Roman"/>
        </w:rPr>
        <w:t>组织</w:t>
      </w:r>
      <w:r>
        <w:rPr>
          <w:rFonts w:hint="eastAsia" w:ascii="Times New Roman"/>
        </w:rPr>
        <w:t>宜向</w:t>
      </w:r>
      <w:r>
        <w:rPr>
          <w:rFonts w:ascii="Times New Roman"/>
        </w:rPr>
        <w:t>利益相关方传达安全</w:t>
      </w:r>
      <w:r>
        <w:rPr>
          <w:rFonts w:hint="eastAsia" w:ascii="Times New Roman"/>
        </w:rPr>
        <w:t>计划</w:t>
      </w:r>
      <w:r>
        <w:rPr>
          <w:rFonts w:ascii="Times New Roman"/>
        </w:rPr>
        <w:t>的内容和义务，包括：</w:t>
      </w:r>
    </w:p>
    <w:p w14:paraId="1A783902">
      <w:pPr>
        <w:pStyle w:val="134"/>
        <w:rPr>
          <w:rFonts w:ascii="Times New Roman"/>
        </w:rPr>
      </w:pPr>
      <w:r>
        <w:rPr>
          <w:rFonts w:ascii="Times New Roman"/>
        </w:rPr>
        <w:t>最高管理者的</w:t>
      </w:r>
      <w:r>
        <w:rPr>
          <w:rFonts w:hint="eastAsia" w:ascii="Times New Roman"/>
        </w:rPr>
        <w:t>内外部</w:t>
      </w:r>
      <w:r>
        <w:rPr>
          <w:rFonts w:ascii="Times New Roman"/>
        </w:rPr>
        <w:t>信任关系，以</w:t>
      </w:r>
      <w:r>
        <w:rPr>
          <w:rFonts w:hint="eastAsia" w:ascii="Times New Roman"/>
        </w:rPr>
        <w:t>共享</w:t>
      </w:r>
      <w:r>
        <w:rPr>
          <w:rFonts w:ascii="Times New Roman"/>
        </w:rPr>
        <w:t>战略信息、最佳实践和经验教训；</w:t>
      </w:r>
    </w:p>
    <w:p w14:paraId="42A8B007">
      <w:pPr>
        <w:pStyle w:val="134"/>
        <w:rPr>
          <w:rFonts w:ascii="Times New Roman"/>
        </w:rPr>
      </w:pPr>
      <w:r>
        <w:rPr>
          <w:rFonts w:ascii="Times New Roman"/>
        </w:rPr>
        <w:t>安全</w:t>
      </w:r>
      <w:r>
        <w:rPr>
          <w:rFonts w:hint="eastAsia" w:ascii="Times New Roman"/>
        </w:rPr>
        <w:t>应急</w:t>
      </w:r>
      <w:r>
        <w:rPr>
          <w:rFonts w:ascii="Times New Roman"/>
        </w:rPr>
        <w:t>和</w:t>
      </w:r>
      <w:r>
        <w:rPr>
          <w:rFonts w:hint="eastAsia" w:ascii="Times New Roman"/>
        </w:rPr>
        <w:t>危机</w:t>
      </w:r>
      <w:r>
        <w:rPr>
          <w:rFonts w:ascii="Times New Roman"/>
        </w:rPr>
        <w:t>情况</w:t>
      </w:r>
      <w:r>
        <w:rPr>
          <w:rFonts w:hint="eastAsia" w:ascii="Times New Roman"/>
        </w:rPr>
        <w:t>响应</w:t>
      </w:r>
      <w:r>
        <w:rPr>
          <w:rFonts w:ascii="Times New Roman"/>
        </w:rPr>
        <w:t>；</w:t>
      </w:r>
    </w:p>
    <w:p w14:paraId="7193AD37">
      <w:pPr>
        <w:pStyle w:val="134"/>
        <w:rPr>
          <w:rFonts w:ascii="Times New Roman"/>
        </w:rPr>
      </w:pPr>
      <w:r>
        <w:rPr>
          <w:rFonts w:ascii="Times New Roman"/>
        </w:rPr>
        <w:t>岗位和职责。</w:t>
      </w:r>
    </w:p>
    <w:p w14:paraId="44E9B534">
      <w:pPr>
        <w:pStyle w:val="58"/>
        <w:ind w:firstLine="420"/>
        <w:rPr>
          <w:rFonts w:ascii="Times New Roman"/>
        </w:rPr>
      </w:pPr>
      <w:r>
        <w:rPr>
          <w:rFonts w:ascii="Times New Roman"/>
        </w:rPr>
        <w:t>组织还</w:t>
      </w:r>
      <w:r>
        <w:rPr>
          <w:rFonts w:hint="eastAsia" w:ascii="Times New Roman"/>
        </w:rPr>
        <w:t>宜</w:t>
      </w:r>
      <w:r>
        <w:rPr>
          <w:rFonts w:ascii="Times New Roman"/>
        </w:rPr>
        <w:t>制定关于</w:t>
      </w:r>
      <w:r>
        <w:rPr>
          <w:rFonts w:hint="eastAsia" w:ascii="Times New Roman"/>
        </w:rPr>
        <w:t>共享</w:t>
      </w:r>
      <w:r>
        <w:rPr>
          <w:rFonts w:ascii="Times New Roman"/>
        </w:rPr>
        <w:t>信息安全和</w:t>
      </w:r>
      <w:r>
        <w:rPr>
          <w:rFonts w:hint="eastAsia" w:ascii="Times New Roman"/>
        </w:rPr>
        <w:t>“须知”</w:t>
      </w:r>
      <w:r>
        <w:rPr>
          <w:rFonts w:ascii="Times New Roman"/>
        </w:rPr>
        <w:t>应用的方针。</w:t>
      </w:r>
    </w:p>
    <w:p w14:paraId="4F09531D">
      <w:pPr>
        <w:pStyle w:val="67"/>
        <w:spacing w:before="156" w:after="156"/>
        <w:rPr>
          <w:rFonts w:ascii="Times New Roman"/>
        </w:rPr>
      </w:pPr>
      <w:bookmarkStart w:id="144" w:name="_Toc169881584"/>
      <w:bookmarkStart w:id="145" w:name="_Toc219898319"/>
      <w:bookmarkStart w:id="146" w:name="_Toc220079912"/>
      <w:bookmarkStart w:id="147" w:name="_Toc169876114"/>
      <w:bookmarkStart w:id="148" w:name="_Toc219211605"/>
      <w:bookmarkStart w:id="149" w:name="_Toc219206749"/>
      <w:r>
        <w:rPr>
          <w:rFonts w:ascii="Times New Roman"/>
        </w:rPr>
        <w:t>成文信息</w:t>
      </w:r>
      <w:bookmarkEnd w:id="144"/>
      <w:bookmarkEnd w:id="145"/>
      <w:bookmarkEnd w:id="146"/>
      <w:bookmarkEnd w:id="147"/>
      <w:bookmarkEnd w:id="148"/>
      <w:bookmarkEnd w:id="149"/>
    </w:p>
    <w:p w14:paraId="46CA5018">
      <w:pPr>
        <w:pStyle w:val="58"/>
        <w:ind w:firstLine="420"/>
        <w:rPr>
          <w:rFonts w:ascii="Times New Roman"/>
        </w:rPr>
      </w:pPr>
      <w:r>
        <w:rPr>
          <w:rFonts w:ascii="Times New Roman"/>
        </w:rPr>
        <w:t>组织</w:t>
      </w:r>
      <w:r>
        <w:rPr>
          <w:rFonts w:hint="eastAsia" w:ascii="Times New Roman"/>
        </w:rPr>
        <w:t>宜</w:t>
      </w:r>
      <w:r>
        <w:rPr>
          <w:rFonts w:ascii="Times New Roman"/>
        </w:rPr>
        <w:t>记录</w:t>
      </w:r>
      <w:r>
        <w:rPr>
          <w:rFonts w:hint="eastAsia" w:ascii="Times New Roman"/>
        </w:rPr>
        <w:t>计划</w:t>
      </w:r>
      <w:r>
        <w:rPr>
          <w:rFonts w:ascii="Times New Roman"/>
        </w:rPr>
        <w:t>有效性</w:t>
      </w:r>
      <w:r>
        <w:rPr>
          <w:rFonts w:hint="eastAsia" w:ascii="Times New Roman"/>
        </w:rPr>
        <w:t>的</w:t>
      </w:r>
      <w:r>
        <w:rPr>
          <w:rFonts w:ascii="Times New Roman"/>
        </w:rPr>
        <w:t>必要信息，包括：</w:t>
      </w:r>
    </w:p>
    <w:p w14:paraId="4E09C5A8">
      <w:pPr>
        <w:pStyle w:val="134"/>
        <w:rPr>
          <w:rFonts w:ascii="Times New Roman"/>
        </w:rPr>
      </w:pPr>
      <w:r>
        <w:rPr>
          <w:rFonts w:ascii="Times New Roman"/>
        </w:rPr>
        <w:t>安全</w:t>
      </w:r>
      <w:r>
        <w:rPr>
          <w:rFonts w:hint="eastAsia" w:ascii="Times New Roman"/>
        </w:rPr>
        <w:t>计划</w:t>
      </w:r>
      <w:r>
        <w:rPr>
          <w:rFonts w:ascii="Times New Roman"/>
        </w:rPr>
        <w:t>的范围；</w:t>
      </w:r>
    </w:p>
    <w:p w14:paraId="23939482">
      <w:pPr>
        <w:pStyle w:val="134"/>
        <w:rPr>
          <w:rFonts w:ascii="Times New Roman"/>
        </w:rPr>
      </w:pPr>
      <w:r>
        <w:rPr>
          <w:rFonts w:hint="eastAsia" w:ascii="Times New Roman"/>
        </w:rPr>
        <w:t>以往</w:t>
      </w:r>
      <w:r>
        <w:rPr>
          <w:rFonts w:ascii="Times New Roman"/>
        </w:rPr>
        <w:t>关于安全风险（包括共享和</w:t>
      </w:r>
      <w:r>
        <w:rPr>
          <w:rFonts w:hint="eastAsia" w:ascii="Times New Roman"/>
        </w:rPr>
        <w:t>剩余风险</w:t>
      </w:r>
      <w:r>
        <w:rPr>
          <w:rFonts w:ascii="Times New Roman"/>
        </w:rPr>
        <w:t>）、所采取的措施及其有效性等方面的决策。</w:t>
      </w:r>
    </w:p>
    <w:p w14:paraId="0BFE19E4">
      <w:pPr>
        <w:pStyle w:val="134"/>
        <w:rPr>
          <w:rFonts w:ascii="Times New Roman"/>
        </w:rPr>
      </w:pPr>
      <w:r>
        <w:rPr>
          <w:rFonts w:ascii="Times New Roman"/>
        </w:rPr>
        <w:t>从</w:t>
      </w:r>
      <w:r>
        <w:rPr>
          <w:rFonts w:hint="eastAsia" w:ascii="Times New Roman"/>
        </w:rPr>
        <w:t>以往</w:t>
      </w:r>
      <w:r>
        <w:rPr>
          <w:rFonts w:ascii="Times New Roman"/>
        </w:rPr>
        <w:t>决策中</w:t>
      </w:r>
      <w:r>
        <w:rPr>
          <w:rFonts w:hint="eastAsia" w:ascii="Times New Roman"/>
        </w:rPr>
        <w:t>汲取的</w:t>
      </w:r>
      <w:r>
        <w:rPr>
          <w:rFonts w:ascii="Times New Roman"/>
        </w:rPr>
        <w:t>经验教训</w:t>
      </w:r>
      <w:r>
        <w:rPr>
          <w:rFonts w:hint="eastAsia" w:ascii="Times New Roman"/>
        </w:rPr>
        <w:t>，以便</w:t>
      </w:r>
      <w:r>
        <w:rPr>
          <w:rFonts w:ascii="Times New Roman"/>
        </w:rPr>
        <w:t>组织能够采取相关</w:t>
      </w:r>
      <w:r>
        <w:rPr>
          <w:rFonts w:hint="eastAsia" w:ascii="Times New Roman"/>
        </w:rPr>
        <w:t>措施</w:t>
      </w:r>
      <w:r>
        <w:rPr>
          <w:rFonts w:ascii="Times New Roman"/>
        </w:rPr>
        <w:t>以持续改进；</w:t>
      </w:r>
    </w:p>
    <w:p w14:paraId="5B037EB1">
      <w:pPr>
        <w:pStyle w:val="134"/>
        <w:rPr>
          <w:rFonts w:ascii="Times New Roman"/>
        </w:rPr>
      </w:pPr>
      <w:r>
        <w:rPr>
          <w:rFonts w:ascii="Times New Roman"/>
        </w:rPr>
        <w:t>与安全</w:t>
      </w:r>
      <w:r>
        <w:rPr>
          <w:rFonts w:hint="eastAsia" w:ascii="Times New Roman"/>
        </w:rPr>
        <w:t>计划</w:t>
      </w:r>
      <w:r>
        <w:rPr>
          <w:rFonts w:ascii="Times New Roman"/>
        </w:rPr>
        <w:t>相关的方针和程序。</w:t>
      </w:r>
    </w:p>
    <w:p w14:paraId="14348FA7">
      <w:pPr>
        <w:pStyle w:val="67"/>
        <w:spacing w:before="156" w:after="156"/>
        <w:rPr>
          <w:rFonts w:ascii="Times New Roman"/>
        </w:rPr>
      </w:pPr>
      <w:bookmarkStart w:id="150" w:name="_Toc169876115"/>
      <w:bookmarkStart w:id="151" w:name="_Toc220079913"/>
      <w:bookmarkStart w:id="152" w:name="_Toc219206750"/>
      <w:bookmarkStart w:id="153" w:name="_Toc219211606"/>
      <w:bookmarkStart w:id="154" w:name="_Toc219898320"/>
      <w:bookmarkStart w:id="155" w:name="_Toc169881585"/>
      <w:r>
        <w:rPr>
          <w:rFonts w:ascii="Times New Roman"/>
        </w:rPr>
        <w:t>报告</w:t>
      </w:r>
      <w:bookmarkEnd w:id="150"/>
      <w:bookmarkEnd w:id="151"/>
      <w:bookmarkEnd w:id="152"/>
      <w:bookmarkEnd w:id="153"/>
      <w:bookmarkEnd w:id="154"/>
      <w:bookmarkEnd w:id="155"/>
    </w:p>
    <w:p w14:paraId="38D2AA27">
      <w:pPr>
        <w:pStyle w:val="58"/>
        <w:ind w:firstLine="420"/>
        <w:rPr>
          <w:rFonts w:ascii="Times New Roman"/>
        </w:rPr>
      </w:pPr>
      <w:r>
        <w:rPr>
          <w:rFonts w:ascii="Times New Roman"/>
        </w:rPr>
        <w:t>安全</w:t>
      </w:r>
      <w:r>
        <w:rPr>
          <w:rFonts w:hint="eastAsia" w:ascii="Times New Roman"/>
        </w:rPr>
        <w:t>计划宜</w:t>
      </w:r>
      <w:r>
        <w:rPr>
          <w:rFonts w:ascii="Times New Roman"/>
        </w:rPr>
        <w:t>包括</w:t>
      </w:r>
      <w:r>
        <w:rPr>
          <w:rFonts w:hint="eastAsia" w:ascii="Times New Roman"/>
        </w:rPr>
        <w:t>相关指导，</w:t>
      </w:r>
      <w:r>
        <w:rPr>
          <w:rFonts w:ascii="Times New Roman"/>
        </w:rPr>
        <w:t>确保最高管理者收到与其执行</w:t>
      </w:r>
      <w:r>
        <w:rPr>
          <w:rFonts w:hint="eastAsia" w:ascii="Times New Roman"/>
        </w:rPr>
        <w:t>适当</w:t>
      </w:r>
      <w:r>
        <w:rPr>
          <w:rFonts w:ascii="Times New Roman"/>
        </w:rPr>
        <w:t>报告。</w:t>
      </w:r>
    </w:p>
    <w:p w14:paraId="3523D588">
      <w:pPr>
        <w:pStyle w:val="67"/>
        <w:spacing w:before="156" w:after="156"/>
        <w:rPr>
          <w:rFonts w:ascii="Times New Roman"/>
        </w:rPr>
      </w:pPr>
      <w:bookmarkStart w:id="156" w:name="_Toc219211607"/>
      <w:bookmarkStart w:id="157" w:name="_Toc169876116"/>
      <w:bookmarkStart w:id="158" w:name="_Toc169881586"/>
      <w:bookmarkStart w:id="159" w:name="_Toc219206751"/>
      <w:bookmarkStart w:id="160" w:name="_Toc219898321"/>
      <w:bookmarkStart w:id="161" w:name="_Toc220079914"/>
      <w:r>
        <w:rPr>
          <w:rFonts w:ascii="Times New Roman"/>
        </w:rPr>
        <w:t>评价</w:t>
      </w:r>
      <w:bookmarkEnd w:id="156"/>
      <w:bookmarkEnd w:id="157"/>
      <w:bookmarkEnd w:id="158"/>
      <w:bookmarkEnd w:id="159"/>
      <w:bookmarkEnd w:id="160"/>
      <w:bookmarkEnd w:id="161"/>
    </w:p>
    <w:p w14:paraId="7BE93409">
      <w:pPr>
        <w:pStyle w:val="58"/>
        <w:ind w:firstLine="420"/>
        <w:rPr>
          <w:rFonts w:ascii="Times New Roman"/>
        </w:rPr>
      </w:pPr>
      <w:r>
        <w:rPr>
          <w:rFonts w:ascii="Times New Roman"/>
        </w:rPr>
        <w:t>对安全</w:t>
      </w:r>
      <w:r>
        <w:rPr>
          <w:rFonts w:hint="eastAsia" w:ascii="Times New Roman"/>
        </w:rPr>
        <w:t>计划</w:t>
      </w:r>
      <w:r>
        <w:rPr>
          <w:rFonts w:ascii="Times New Roman"/>
        </w:rPr>
        <w:t>的评价</w:t>
      </w:r>
      <w:r>
        <w:rPr>
          <w:rFonts w:hint="eastAsia" w:ascii="Times New Roman"/>
        </w:rPr>
        <w:t>宜</w:t>
      </w:r>
      <w:r>
        <w:rPr>
          <w:rFonts w:ascii="Times New Roman"/>
        </w:rPr>
        <w:t>考虑：</w:t>
      </w:r>
    </w:p>
    <w:p w14:paraId="7A0C3BCA">
      <w:pPr>
        <w:pStyle w:val="134"/>
        <w:rPr>
          <w:rFonts w:ascii="Times New Roman"/>
        </w:rPr>
      </w:pPr>
      <w:r>
        <w:rPr>
          <w:rFonts w:ascii="Times New Roman"/>
        </w:rPr>
        <w:t>组织的风险管理方法；</w:t>
      </w:r>
    </w:p>
    <w:p w14:paraId="2BBF73B5">
      <w:pPr>
        <w:pStyle w:val="134"/>
        <w:rPr>
          <w:rFonts w:ascii="Times New Roman"/>
        </w:rPr>
      </w:pPr>
      <w:r>
        <w:rPr>
          <w:rFonts w:ascii="Times New Roman"/>
        </w:rPr>
        <w:t>安全和战略目标；</w:t>
      </w:r>
    </w:p>
    <w:p w14:paraId="19E8A9C9">
      <w:pPr>
        <w:pStyle w:val="134"/>
        <w:rPr>
          <w:rFonts w:ascii="Times New Roman"/>
        </w:rPr>
      </w:pPr>
      <w:r>
        <w:rPr>
          <w:rFonts w:ascii="Times New Roman"/>
        </w:rPr>
        <w:t>所需资源，包括人员、培训需求和所需的能力</w:t>
      </w:r>
      <w:r>
        <w:rPr>
          <w:rFonts w:hint="eastAsia" w:ascii="Times New Roman"/>
        </w:rPr>
        <w:t>等级</w:t>
      </w:r>
      <w:r>
        <w:rPr>
          <w:rFonts w:ascii="Times New Roman"/>
        </w:rPr>
        <w:t>；</w:t>
      </w:r>
    </w:p>
    <w:p w14:paraId="409481F3">
      <w:pPr>
        <w:pStyle w:val="134"/>
        <w:rPr>
          <w:rFonts w:ascii="Times New Roman"/>
        </w:rPr>
      </w:pPr>
      <w:r>
        <w:rPr>
          <w:rFonts w:ascii="Times New Roman"/>
        </w:rPr>
        <w:t>评价结果。</w:t>
      </w:r>
    </w:p>
    <w:p w14:paraId="5D2E43D3">
      <w:pPr>
        <w:pStyle w:val="58"/>
        <w:ind w:firstLine="420"/>
        <w:rPr>
          <w:rFonts w:ascii="Times New Roman"/>
        </w:rPr>
      </w:pPr>
      <w:r>
        <w:rPr>
          <w:rFonts w:ascii="Times New Roman"/>
        </w:rPr>
        <w:t>组织</w:t>
      </w:r>
      <w:r>
        <w:rPr>
          <w:rFonts w:hint="eastAsia" w:ascii="Times New Roman"/>
        </w:rPr>
        <w:t>宜</w:t>
      </w:r>
      <w:r>
        <w:rPr>
          <w:rFonts w:ascii="Times New Roman"/>
        </w:rPr>
        <w:t>基于以下</w:t>
      </w:r>
      <w:r>
        <w:rPr>
          <w:rFonts w:hint="eastAsia" w:ascii="Times New Roman"/>
        </w:rPr>
        <w:t>要素</w:t>
      </w:r>
      <w:r>
        <w:rPr>
          <w:rFonts w:ascii="Times New Roman"/>
        </w:rPr>
        <w:t>评价安全</w:t>
      </w:r>
      <w:r>
        <w:rPr>
          <w:rFonts w:hint="eastAsia" w:ascii="Times New Roman"/>
        </w:rPr>
        <w:t>计划</w:t>
      </w:r>
      <w:r>
        <w:rPr>
          <w:rFonts w:ascii="Times New Roman"/>
        </w:rPr>
        <w:t>的有效性：</w:t>
      </w:r>
    </w:p>
    <w:p w14:paraId="17BD2C5D">
      <w:pPr>
        <w:pStyle w:val="134"/>
        <w:rPr>
          <w:rFonts w:ascii="Times New Roman"/>
        </w:rPr>
      </w:pPr>
      <w:r>
        <w:rPr>
          <w:rFonts w:ascii="Times New Roman"/>
        </w:rPr>
        <w:t>需要评价的内容；</w:t>
      </w:r>
    </w:p>
    <w:p w14:paraId="513C4ACB">
      <w:pPr>
        <w:pStyle w:val="134"/>
        <w:rPr>
          <w:rFonts w:ascii="Times New Roman"/>
        </w:rPr>
      </w:pPr>
      <w:r>
        <w:rPr>
          <w:rFonts w:ascii="Times New Roman"/>
        </w:rPr>
        <w:t>评价使用的方法；</w:t>
      </w:r>
    </w:p>
    <w:p w14:paraId="19333C3A">
      <w:pPr>
        <w:pStyle w:val="134"/>
        <w:rPr>
          <w:rFonts w:ascii="Times New Roman"/>
        </w:rPr>
      </w:pPr>
      <w:r>
        <w:rPr>
          <w:rFonts w:ascii="Times New Roman"/>
        </w:rPr>
        <w:t>评价</w:t>
      </w:r>
      <w:r>
        <w:rPr>
          <w:rFonts w:hint="eastAsia" w:ascii="Times New Roman"/>
        </w:rPr>
        <w:t>的实施</w:t>
      </w:r>
      <w:r>
        <w:rPr>
          <w:rFonts w:ascii="Times New Roman"/>
        </w:rPr>
        <w:t>、分析和报告；</w:t>
      </w:r>
    </w:p>
    <w:p w14:paraId="7B46B1AA">
      <w:pPr>
        <w:pStyle w:val="134"/>
        <w:rPr>
          <w:rFonts w:ascii="Times New Roman"/>
        </w:rPr>
      </w:pPr>
      <w:r>
        <w:rPr>
          <w:rFonts w:ascii="Times New Roman"/>
        </w:rPr>
        <w:t>确定评价频次（例如：正常和紧急情况）；</w:t>
      </w:r>
    </w:p>
    <w:p w14:paraId="67FFF035">
      <w:pPr>
        <w:pStyle w:val="134"/>
        <w:rPr>
          <w:rFonts w:ascii="Times New Roman"/>
        </w:rPr>
      </w:pPr>
      <w:r>
        <w:rPr>
          <w:rFonts w:ascii="Times New Roman"/>
        </w:rPr>
        <w:t>评价安全</w:t>
      </w:r>
      <w:r>
        <w:rPr>
          <w:rFonts w:hint="eastAsia" w:ascii="Times New Roman"/>
        </w:rPr>
        <w:t>计划</w:t>
      </w:r>
      <w:r>
        <w:rPr>
          <w:rFonts w:ascii="Times New Roman"/>
        </w:rPr>
        <w:t>授权主体。</w:t>
      </w:r>
    </w:p>
    <w:p w14:paraId="4B8624F6">
      <w:pPr>
        <w:pStyle w:val="67"/>
        <w:spacing w:before="156" w:after="156"/>
        <w:rPr>
          <w:rFonts w:ascii="Times New Roman"/>
        </w:rPr>
      </w:pPr>
      <w:bookmarkStart w:id="162" w:name="_Toc219206752"/>
      <w:bookmarkStart w:id="163" w:name="_Toc219898322"/>
      <w:bookmarkStart w:id="164" w:name="_Toc169876117"/>
      <w:bookmarkStart w:id="165" w:name="_Toc220079915"/>
      <w:bookmarkStart w:id="166" w:name="_Toc219211608"/>
      <w:bookmarkStart w:id="167" w:name="_Toc169881587"/>
      <w:r>
        <w:rPr>
          <w:rFonts w:ascii="Times New Roman"/>
        </w:rPr>
        <w:t>持续改进</w:t>
      </w:r>
      <w:bookmarkEnd w:id="162"/>
      <w:bookmarkEnd w:id="163"/>
      <w:bookmarkEnd w:id="164"/>
      <w:bookmarkEnd w:id="165"/>
      <w:bookmarkEnd w:id="166"/>
      <w:bookmarkEnd w:id="167"/>
    </w:p>
    <w:p w14:paraId="143ED86B">
      <w:pPr>
        <w:pStyle w:val="58"/>
        <w:ind w:firstLine="420"/>
        <w:rPr>
          <w:rFonts w:ascii="Times New Roman"/>
        </w:rPr>
      </w:pPr>
      <w:r>
        <w:rPr>
          <w:rFonts w:ascii="Times New Roman"/>
        </w:rPr>
        <w:t>组织</w:t>
      </w:r>
      <w:r>
        <w:rPr>
          <w:rFonts w:hint="eastAsia" w:ascii="Times New Roman"/>
        </w:rPr>
        <w:t>宜持续</w:t>
      </w:r>
      <w:r>
        <w:rPr>
          <w:rFonts w:ascii="Times New Roman"/>
        </w:rPr>
        <w:t>改进安全</w:t>
      </w:r>
      <w:r>
        <w:rPr>
          <w:rFonts w:hint="eastAsia" w:ascii="Times New Roman"/>
        </w:rPr>
        <w:t>计划</w:t>
      </w:r>
      <w:r>
        <w:rPr>
          <w:rFonts w:ascii="Times New Roman"/>
        </w:rPr>
        <w:t>：</w:t>
      </w:r>
    </w:p>
    <w:p w14:paraId="1EFCA27B">
      <w:pPr>
        <w:pStyle w:val="134"/>
        <w:rPr>
          <w:rFonts w:ascii="Times New Roman"/>
        </w:rPr>
      </w:pPr>
      <w:r>
        <w:rPr>
          <w:rFonts w:ascii="Times New Roman"/>
        </w:rPr>
        <w:t>积极寻求改进机会，即使</w:t>
      </w:r>
      <w:r>
        <w:rPr>
          <w:rFonts w:hint="eastAsia" w:ascii="Times New Roman"/>
        </w:rPr>
        <w:t>未出现</w:t>
      </w:r>
      <w:r>
        <w:rPr>
          <w:rFonts w:ascii="Times New Roman"/>
        </w:rPr>
        <w:t>与安全相关脆弱性、</w:t>
      </w:r>
      <w:r>
        <w:rPr>
          <w:rFonts w:hint="eastAsia" w:ascii="Times New Roman"/>
        </w:rPr>
        <w:t>紧迫</w:t>
      </w:r>
      <w:r>
        <w:rPr>
          <w:rFonts w:ascii="Times New Roman"/>
        </w:rPr>
        <w:t>的安全威胁或</w:t>
      </w:r>
      <w:r>
        <w:rPr>
          <w:rFonts w:hint="eastAsia" w:ascii="Times New Roman"/>
        </w:rPr>
        <w:t>正在发生</w:t>
      </w:r>
      <w:r>
        <w:rPr>
          <w:rFonts w:ascii="Times New Roman"/>
        </w:rPr>
        <w:t>的</w:t>
      </w:r>
      <w:r>
        <w:rPr>
          <w:rFonts w:hint="eastAsia" w:ascii="Times New Roman"/>
        </w:rPr>
        <w:t>违反</w:t>
      </w:r>
      <w:r>
        <w:rPr>
          <w:rFonts w:ascii="Times New Roman"/>
        </w:rPr>
        <w:t>安全规</w:t>
      </w:r>
      <w:r>
        <w:rPr>
          <w:rFonts w:hint="eastAsia" w:ascii="Times New Roman"/>
        </w:rPr>
        <w:t>定</w:t>
      </w:r>
      <w:r>
        <w:rPr>
          <w:rFonts w:ascii="Times New Roman"/>
        </w:rPr>
        <w:t>行为。</w:t>
      </w:r>
    </w:p>
    <w:p w14:paraId="028A2F42">
      <w:pPr>
        <w:pStyle w:val="134"/>
        <w:rPr>
          <w:rFonts w:ascii="Times New Roman"/>
        </w:rPr>
      </w:pPr>
      <w:r>
        <w:rPr>
          <w:rFonts w:ascii="Times New Roman"/>
        </w:rPr>
        <w:t>考虑到：</w:t>
      </w:r>
    </w:p>
    <w:p w14:paraId="6FE5D686">
      <w:pPr>
        <w:pStyle w:val="189"/>
        <w:rPr>
          <w:rFonts w:ascii="Times New Roman"/>
        </w:rPr>
      </w:pPr>
      <w:r>
        <w:rPr>
          <w:rFonts w:ascii="Times New Roman"/>
        </w:rPr>
        <w:t>对包括风险和控制</w:t>
      </w:r>
      <w:r>
        <w:rPr>
          <w:rFonts w:hint="eastAsia" w:ascii="Times New Roman"/>
        </w:rPr>
        <w:t>在内的计划</w:t>
      </w:r>
      <w:r>
        <w:rPr>
          <w:rFonts w:ascii="Times New Roman"/>
        </w:rPr>
        <w:t>调整；</w:t>
      </w:r>
    </w:p>
    <w:p w14:paraId="58D20EE9">
      <w:pPr>
        <w:pStyle w:val="189"/>
        <w:rPr>
          <w:rFonts w:ascii="Times New Roman"/>
        </w:rPr>
      </w:pPr>
      <w:r>
        <w:rPr>
          <w:rFonts w:hint="eastAsia" w:ascii="Times New Roman"/>
        </w:rPr>
        <w:t>计划的</w:t>
      </w:r>
      <w:r>
        <w:rPr>
          <w:rFonts w:ascii="Times New Roman"/>
        </w:rPr>
        <w:t>可用资源，包括人员、设备和设施。</w:t>
      </w:r>
    </w:p>
    <w:p w14:paraId="243B96EF">
      <w:pPr>
        <w:pStyle w:val="107"/>
        <w:spacing w:before="156" w:after="156"/>
        <w:rPr>
          <w:rFonts w:ascii="Times New Roman"/>
        </w:rPr>
      </w:pPr>
      <w:bookmarkStart w:id="168" w:name="_Toc219206753"/>
      <w:bookmarkStart w:id="169" w:name="_Toc169516094"/>
      <w:bookmarkStart w:id="170" w:name="_Toc169881588"/>
      <w:bookmarkStart w:id="171" w:name="_Toc169876118"/>
      <w:bookmarkStart w:id="172" w:name="_Toc219211609"/>
      <w:bookmarkStart w:id="173" w:name="_Toc169876094"/>
      <w:bookmarkStart w:id="174" w:name="_Toc220079916"/>
      <w:bookmarkStart w:id="175" w:name="_Toc219898323"/>
      <w:r>
        <w:rPr>
          <w:rFonts w:ascii="Times New Roman"/>
        </w:rPr>
        <w:t>风险管理</w:t>
      </w:r>
      <w:bookmarkEnd w:id="168"/>
      <w:bookmarkEnd w:id="169"/>
      <w:bookmarkEnd w:id="170"/>
      <w:bookmarkEnd w:id="171"/>
      <w:bookmarkEnd w:id="172"/>
      <w:bookmarkEnd w:id="173"/>
      <w:bookmarkEnd w:id="174"/>
      <w:bookmarkEnd w:id="175"/>
    </w:p>
    <w:p w14:paraId="76E8D90E">
      <w:pPr>
        <w:pStyle w:val="67"/>
        <w:spacing w:before="156" w:after="156"/>
        <w:rPr>
          <w:rFonts w:ascii="Times New Roman"/>
        </w:rPr>
      </w:pPr>
      <w:bookmarkStart w:id="176" w:name="_Toc219211610"/>
      <w:bookmarkStart w:id="177" w:name="_Toc169876119"/>
      <w:bookmarkStart w:id="178" w:name="_Toc219898324"/>
      <w:bookmarkStart w:id="179" w:name="_Toc219206754"/>
      <w:bookmarkStart w:id="180" w:name="_Toc169881589"/>
      <w:bookmarkStart w:id="181" w:name="_Toc220079917"/>
      <w:r>
        <w:rPr>
          <w:rFonts w:ascii="Times New Roman"/>
        </w:rPr>
        <w:t>总则</w:t>
      </w:r>
      <w:bookmarkEnd w:id="176"/>
      <w:bookmarkEnd w:id="177"/>
      <w:bookmarkEnd w:id="178"/>
      <w:bookmarkEnd w:id="179"/>
      <w:bookmarkEnd w:id="180"/>
      <w:bookmarkEnd w:id="181"/>
    </w:p>
    <w:p w14:paraId="5AC5AB9F">
      <w:pPr>
        <w:pStyle w:val="58"/>
        <w:ind w:firstLine="420"/>
        <w:rPr>
          <w:rFonts w:ascii="Times New Roman"/>
        </w:rPr>
      </w:pPr>
      <w:r>
        <w:rPr>
          <w:rFonts w:hint="eastAsia" w:ascii="Times New Roman"/>
        </w:rPr>
        <w:t>为实现安全计划的预期结果，需采用基于</w:t>
      </w:r>
      <w:r>
        <w:rPr>
          <w:rFonts w:ascii="Times New Roman"/>
        </w:rPr>
        <w:t>风险管理</w:t>
      </w:r>
      <w:r>
        <w:rPr>
          <w:rFonts w:hint="eastAsia" w:ascii="Times New Roman"/>
        </w:rPr>
        <w:t>且针对组织定制化的</w:t>
      </w:r>
      <w:r>
        <w:rPr>
          <w:rFonts w:ascii="Times New Roman"/>
        </w:rPr>
        <w:t>方法应对风险</w:t>
      </w:r>
      <w:r>
        <w:rPr>
          <w:rFonts w:hint="eastAsia" w:ascii="Times New Roman"/>
        </w:rPr>
        <w:t>，并与组织整体计划</w:t>
      </w:r>
      <w:r>
        <w:rPr>
          <w:rFonts w:ascii="Times New Roman"/>
        </w:rPr>
        <w:t>协调一致</w:t>
      </w:r>
      <w:r>
        <w:rPr>
          <w:rFonts w:hint="eastAsia" w:ascii="Times New Roman"/>
        </w:rPr>
        <w:t>。</w:t>
      </w:r>
    </w:p>
    <w:p w14:paraId="759667F6">
      <w:pPr>
        <w:pStyle w:val="58"/>
        <w:ind w:firstLine="420"/>
        <w:rPr>
          <w:rFonts w:ascii="Times New Roman"/>
        </w:rPr>
      </w:pPr>
      <w:r>
        <w:rPr>
          <w:rFonts w:hint="eastAsia" w:ascii="Times New Roman"/>
        </w:rPr>
        <w:t>宜</w:t>
      </w:r>
      <w:r>
        <w:rPr>
          <w:rFonts w:ascii="Times New Roman"/>
        </w:rPr>
        <w:t>根据被保护资产的风险</w:t>
      </w:r>
      <w:r>
        <w:rPr>
          <w:rFonts w:hint="eastAsia" w:ascii="Times New Roman"/>
        </w:rPr>
        <w:t>等级</w:t>
      </w:r>
      <w:r>
        <w:rPr>
          <w:rFonts w:ascii="Times New Roman"/>
        </w:rPr>
        <w:t>，确定保护</w:t>
      </w:r>
      <w:r>
        <w:rPr>
          <w:rFonts w:hint="eastAsia" w:ascii="Times New Roman"/>
        </w:rPr>
        <w:t>等级</w:t>
      </w:r>
      <w:r>
        <w:rPr>
          <w:rFonts w:ascii="Times New Roman"/>
        </w:rPr>
        <w:t>，并实施</w:t>
      </w:r>
      <w:r>
        <w:rPr>
          <w:rFonts w:hint="eastAsia" w:ascii="Times New Roman"/>
        </w:rPr>
        <w:t>能够达到约定可接受风险等级相应的控制措施。</w:t>
      </w:r>
    </w:p>
    <w:p w14:paraId="52A98C46">
      <w:pPr>
        <w:pStyle w:val="58"/>
        <w:ind w:firstLine="420"/>
        <w:rPr>
          <w:rFonts w:ascii="Times New Roman"/>
        </w:rPr>
      </w:pPr>
      <w:r>
        <w:rPr>
          <w:rFonts w:ascii="Times New Roman"/>
        </w:rPr>
        <w:t>组织</w:t>
      </w:r>
      <w:r>
        <w:rPr>
          <w:rFonts w:hint="eastAsia" w:ascii="Times New Roman"/>
        </w:rPr>
        <w:t>宜</w:t>
      </w:r>
      <w:r>
        <w:rPr>
          <w:rFonts w:ascii="Times New Roman"/>
        </w:rPr>
        <w:t>遵循 GB/T 24353-2022 第 6 章的风险管理过程来管理其安全风险，其中包括：</w:t>
      </w:r>
    </w:p>
    <w:p w14:paraId="5F289080">
      <w:pPr>
        <w:pStyle w:val="134"/>
        <w:rPr>
          <w:rFonts w:ascii="Times New Roman"/>
        </w:rPr>
      </w:pPr>
      <w:r>
        <w:rPr>
          <w:rFonts w:ascii="Times New Roman"/>
        </w:rPr>
        <w:t>安全风险范围、环境和准则（见5.3.2）；</w:t>
      </w:r>
    </w:p>
    <w:p w14:paraId="41D4FE88">
      <w:pPr>
        <w:pStyle w:val="134"/>
        <w:rPr>
          <w:rFonts w:ascii="Times New Roman"/>
        </w:rPr>
      </w:pPr>
      <w:r>
        <w:rPr>
          <w:rFonts w:ascii="Times New Roman"/>
        </w:rPr>
        <w:t>评估（见5.3.3）；</w:t>
      </w:r>
    </w:p>
    <w:p w14:paraId="2919E43A">
      <w:pPr>
        <w:pStyle w:val="134"/>
        <w:rPr>
          <w:rFonts w:ascii="Times New Roman"/>
        </w:rPr>
      </w:pPr>
      <w:r>
        <w:rPr>
          <w:rFonts w:ascii="Times New Roman"/>
        </w:rPr>
        <w:t>应对（见5.3.4）；</w:t>
      </w:r>
    </w:p>
    <w:p w14:paraId="51238F0B">
      <w:pPr>
        <w:pStyle w:val="134"/>
        <w:rPr>
          <w:rFonts w:ascii="Times New Roman"/>
        </w:rPr>
      </w:pPr>
      <w:r>
        <w:rPr>
          <w:rFonts w:ascii="Times New Roman"/>
        </w:rPr>
        <w:t>接受</w:t>
      </w:r>
      <w:r>
        <w:rPr>
          <w:rFonts w:hint="eastAsia" w:ascii="Times New Roman"/>
        </w:rPr>
        <w:t>剩余</w:t>
      </w:r>
      <w:r>
        <w:rPr>
          <w:rFonts w:ascii="Times New Roman"/>
        </w:rPr>
        <w:t>安全风险</w:t>
      </w:r>
      <w:r>
        <w:rPr>
          <w:rFonts w:hint="eastAsia" w:ascii="Times New Roman"/>
        </w:rPr>
        <w:t>等级</w:t>
      </w:r>
      <w:r>
        <w:rPr>
          <w:rFonts w:ascii="Times New Roman"/>
        </w:rPr>
        <w:t>（见5.3.5）；</w:t>
      </w:r>
    </w:p>
    <w:p w14:paraId="7893D352">
      <w:pPr>
        <w:pStyle w:val="134"/>
        <w:rPr>
          <w:rFonts w:ascii="Times New Roman"/>
        </w:rPr>
      </w:pPr>
      <w:r>
        <w:rPr>
          <w:rFonts w:ascii="Times New Roman"/>
        </w:rPr>
        <w:t>沟通和咨询（见5.3.6）；</w:t>
      </w:r>
    </w:p>
    <w:p w14:paraId="21191AD3">
      <w:pPr>
        <w:pStyle w:val="134"/>
        <w:rPr>
          <w:rFonts w:ascii="Times New Roman"/>
        </w:rPr>
      </w:pPr>
      <w:r>
        <w:rPr>
          <w:rFonts w:ascii="Times New Roman"/>
        </w:rPr>
        <w:t>监视和评审（见5.3.7）；</w:t>
      </w:r>
    </w:p>
    <w:p w14:paraId="5A2C3F9B">
      <w:pPr>
        <w:pStyle w:val="134"/>
        <w:rPr>
          <w:rFonts w:ascii="Times New Roman"/>
        </w:rPr>
      </w:pPr>
      <w:r>
        <w:rPr>
          <w:rFonts w:ascii="Times New Roman"/>
        </w:rPr>
        <w:t>成文管理（见5.3.8）。</w:t>
      </w:r>
    </w:p>
    <w:p w14:paraId="76ABA8D6">
      <w:pPr>
        <w:pStyle w:val="67"/>
        <w:spacing w:before="156" w:after="156"/>
        <w:rPr>
          <w:rFonts w:ascii="Times New Roman"/>
        </w:rPr>
      </w:pPr>
      <w:bookmarkStart w:id="182" w:name="_Toc219898325"/>
      <w:bookmarkStart w:id="183" w:name="_Toc169881590"/>
      <w:bookmarkStart w:id="184" w:name="_Toc169876120"/>
      <w:bookmarkStart w:id="185" w:name="_Toc220079918"/>
      <w:bookmarkStart w:id="186" w:name="_Toc219211611"/>
      <w:bookmarkStart w:id="187" w:name="_Toc219206755"/>
      <w:r>
        <w:rPr>
          <w:rFonts w:ascii="Times New Roman"/>
        </w:rPr>
        <w:t>安全风险范围、环境和准则</w:t>
      </w:r>
      <w:bookmarkEnd w:id="182"/>
      <w:bookmarkEnd w:id="183"/>
      <w:bookmarkEnd w:id="184"/>
      <w:bookmarkEnd w:id="185"/>
      <w:bookmarkEnd w:id="186"/>
      <w:bookmarkEnd w:id="187"/>
    </w:p>
    <w:p w14:paraId="19BBD695">
      <w:pPr>
        <w:pStyle w:val="58"/>
        <w:ind w:firstLine="420"/>
        <w:rPr>
          <w:rFonts w:ascii="Times New Roman"/>
        </w:rPr>
      </w:pPr>
      <w:r>
        <w:rPr>
          <w:rFonts w:ascii="Times New Roman"/>
        </w:rPr>
        <w:t>组织在建立安全</w:t>
      </w:r>
      <w:r>
        <w:rPr>
          <w:rFonts w:hint="eastAsia" w:ascii="Times New Roman"/>
        </w:rPr>
        <w:t>计划</w:t>
      </w:r>
      <w:r>
        <w:rPr>
          <w:rFonts w:ascii="Times New Roman"/>
        </w:rPr>
        <w:t>时，</w:t>
      </w:r>
      <w:r>
        <w:rPr>
          <w:rFonts w:hint="eastAsia" w:ascii="Times New Roman"/>
        </w:rPr>
        <w:t>宜综合</w:t>
      </w:r>
      <w:r>
        <w:rPr>
          <w:rFonts w:ascii="Times New Roman"/>
        </w:rPr>
        <w:t>考虑与其宗旨相关</w:t>
      </w:r>
      <w:r>
        <w:rPr>
          <w:rFonts w:hint="eastAsia" w:ascii="Times New Roman"/>
        </w:rPr>
        <w:t>、影响战略层面达成预期成果能力的内外</w:t>
      </w:r>
      <w:r>
        <w:rPr>
          <w:rFonts w:ascii="Times New Roman"/>
        </w:rPr>
        <w:t>部安全风险环境。这可能包括以下描述：</w:t>
      </w:r>
    </w:p>
    <w:p w14:paraId="34ED7738">
      <w:pPr>
        <w:pStyle w:val="134"/>
        <w:rPr>
          <w:rFonts w:ascii="Times New Roman"/>
        </w:rPr>
      </w:pPr>
      <w:r>
        <w:rPr>
          <w:rFonts w:ascii="Times New Roman"/>
        </w:rPr>
        <w:t>有形和无形资产；</w:t>
      </w:r>
    </w:p>
    <w:p w14:paraId="05A2F574">
      <w:pPr>
        <w:pStyle w:val="134"/>
        <w:rPr>
          <w:rFonts w:ascii="Times New Roman"/>
        </w:rPr>
      </w:pPr>
      <w:r>
        <w:rPr>
          <w:rFonts w:ascii="Times New Roman"/>
        </w:rPr>
        <w:t>资产价值和需要应对的</w:t>
      </w:r>
      <w:r>
        <w:rPr>
          <w:rFonts w:hint="eastAsia" w:ascii="Times New Roman"/>
        </w:rPr>
        <w:t>相关</w:t>
      </w:r>
      <w:r>
        <w:rPr>
          <w:rFonts w:ascii="Times New Roman"/>
        </w:rPr>
        <w:t>脆弱性；</w:t>
      </w:r>
    </w:p>
    <w:p w14:paraId="01D50877">
      <w:pPr>
        <w:pStyle w:val="134"/>
        <w:rPr>
          <w:rFonts w:ascii="Times New Roman"/>
        </w:rPr>
      </w:pPr>
      <w:r>
        <w:rPr>
          <w:rFonts w:ascii="Times New Roman"/>
        </w:rPr>
        <w:t>安全风险来源；</w:t>
      </w:r>
    </w:p>
    <w:p w14:paraId="67EFB1AD">
      <w:pPr>
        <w:pStyle w:val="134"/>
        <w:rPr>
          <w:rFonts w:ascii="Times New Roman"/>
        </w:rPr>
      </w:pPr>
      <w:r>
        <w:rPr>
          <w:rFonts w:ascii="Times New Roman"/>
        </w:rPr>
        <w:t>合作伙伴和利益相关方；</w:t>
      </w:r>
    </w:p>
    <w:p w14:paraId="10A0154C">
      <w:pPr>
        <w:pStyle w:val="134"/>
        <w:rPr>
          <w:rFonts w:ascii="Times New Roman"/>
        </w:rPr>
      </w:pPr>
      <w:r>
        <w:rPr>
          <w:rFonts w:ascii="Times New Roman"/>
        </w:rPr>
        <w:t>全球显著</w:t>
      </w:r>
      <w:r>
        <w:rPr>
          <w:rFonts w:hint="eastAsia" w:ascii="Times New Roman"/>
        </w:rPr>
        <w:t>性</w:t>
      </w:r>
      <w:r>
        <w:rPr>
          <w:rFonts w:ascii="Times New Roman"/>
        </w:rPr>
        <w:t>趋势；</w:t>
      </w:r>
    </w:p>
    <w:p w14:paraId="3E2A50E3">
      <w:pPr>
        <w:pStyle w:val="134"/>
        <w:rPr>
          <w:rFonts w:ascii="Times New Roman"/>
        </w:rPr>
      </w:pPr>
      <w:r>
        <w:rPr>
          <w:rFonts w:ascii="Times New Roman"/>
        </w:rPr>
        <w:t>地理或</w:t>
      </w:r>
      <w:r>
        <w:rPr>
          <w:rFonts w:hint="eastAsia" w:ascii="Times New Roman"/>
        </w:rPr>
        <w:t>地缘政治因素</w:t>
      </w:r>
      <w:r>
        <w:rPr>
          <w:rFonts w:ascii="Times New Roman"/>
        </w:rPr>
        <w:t>；</w:t>
      </w:r>
    </w:p>
    <w:p w14:paraId="2983FA79">
      <w:pPr>
        <w:pStyle w:val="134"/>
        <w:rPr>
          <w:rFonts w:ascii="Times New Roman"/>
        </w:rPr>
      </w:pPr>
      <w:r>
        <w:rPr>
          <w:rFonts w:ascii="Times New Roman"/>
        </w:rPr>
        <w:t>法律法规环境；</w:t>
      </w:r>
    </w:p>
    <w:p w14:paraId="49DF59C1">
      <w:pPr>
        <w:pStyle w:val="134"/>
        <w:rPr>
          <w:rFonts w:ascii="Times New Roman"/>
        </w:rPr>
      </w:pPr>
      <w:r>
        <w:rPr>
          <w:rFonts w:ascii="Times New Roman"/>
        </w:rPr>
        <w:t>运行环境的其他方面。</w:t>
      </w:r>
    </w:p>
    <w:p w14:paraId="7A9A3000">
      <w:pPr>
        <w:pStyle w:val="67"/>
        <w:spacing w:before="156" w:after="156"/>
        <w:rPr>
          <w:rFonts w:ascii="Times New Roman"/>
        </w:rPr>
      </w:pPr>
      <w:bookmarkStart w:id="188" w:name="_Toc220079919"/>
      <w:bookmarkStart w:id="189" w:name="_Toc219206756"/>
      <w:bookmarkStart w:id="190" w:name="_Toc169876121"/>
      <w:bookmarkStart w:id="191" w:name="_Toc219898326"/>
      <w:bookmarkStart w:id="192" w:name="_Toc219211612"/>
      <w:bookmarkStart w:id="193" w:name="_Toc169881591"/>
      <w:r>
        <w:rPr>
          <w:rFonts w:ascii="Times New Roman"/>
        </w:rPr>
        <w:t>评估</w:t>
      </w:r>
      <w:bookmarkEnd w:id="188"/>
      <w:bookmarkEnd w:id="189"/>
      <w:bookmarkEnd w:id="190"/>
      <w:bookmarkEnd w:id="191"/>
      <w:bookmarkEnd w:id="192"/>
      <w:bookmarkEnd w:id="193"/>
    </w:p>
    <w:p w14:paraId="3260A3F4">
      <w:pPr>
        <w:pStyle w:val="58"/>
        <w:ind w:firstLine="420"/>
        <w:rPr>
          <w:rFonts w:ascii="Times New Roman"/>
        </w:rPr>
      </w:pPr>
      <w:r>
        <w:rPr>
          <w:rFonts w:ascii="Times New Roman"/>
        </w:rPr>
        <w:t>安全风险评估</w:t>
      </w:r>
      <w:r>
        <w:rPr>
          <w:rFonts w:hint="eastAsia" w:ascii="Times New Roman"/>
        </w:rPr>
        <w:t>宜</w:t>
      </w:r>
      <w:r>
        <w:rPr>
          <w:rFonts w:ascii="Times New Roman"/>
        </w:rPr>
        <w:t>按照 GB/T 24353-2022 第</w:t>
      </w:r>
      <w:r>
        <w:rPr>
          <w:rFonts w:hint="eastAsia" w:ascii="Times New Roman"/>
        </w:rPr>
        <w:t>6</w:t>
      </w:r>
      <w:r>
        <w:rPr>
          <w:rFonts w:ascii="Times New Roman"/>
        </w:rPr>
        <w:t>章</w:t>
      </w:r>
      <w:r>
        <w:rPr>
          <w:rFonts w:hint="eastAsia" w:ascii="Times New Roman"/>
        </w:rPr>
        <w:t>的规定</w:t>
      </w:r>
      <w:r>
        <w:rPr>
          <w:rFonts w:ascii="Times New Roman"/>
        </w:rPr>
        <w:t>进行，其中包括以下循序渐进的过程：</w:t>
      </w:r>
    </w:p>
    <w:p w14:paraId="4E5ABAE8">
      <w:pPr>
        <w:pStyle w:val="134"/>
        <w:rPr>
          <w:rFonts w:ascii="Times New Roman"/>
        </w:rPr>
      </w:pPr>
      <w:r>
        <w:rPr>
          <w:rFonts w:ascii="Times New Roman"/>
        </w:rPr>
        <w:t>风险识别；</w:t>
      </w:r>
    </w:p>
    <w:p w14:paraId="63F11D19">
      <w:pPr>
        <w:pStyle w:val="134"/>
        <w:rPr>
          <w:rFonts w:ascii="Times New Roman"/>
        </w:rPr>
      </w:pPr>
      <w:r>
        <w:rPr>
          <w:rFonts w:ascii="Times New Roman"/>
        </w:rPr>
        <w:t>风险分析；</w:t>
      </w:r>
    </w:p>
    <w:p w14:paraId="61A72EDA">
      <w:pPr>
        <w:pStyle w:val="134"/>
        <w:rPr>
          <w:rFonts w:ascii="Times New Roman"/>
        </w:rPr>
      </w:pPr>
      <w:r>
        <w:rPr>
          <w:rFonts w:ascii="Times New Roman"/>
        </w:rPr>
        <w:t>风险评价。</w:t>
      </w:r>
    </w:p>
    <w:p w14:paraId="1A9E1912">
      <w:pPr>
        <w:pStyle w:val="58"/>
        <w:ind w:firstLine="420"/>
        <w:rPr>
          <w:rFonts w:ascii="Times New Roman"/>
        </w:rPr>
      </w:pPr>
      <w:r>
        <w:rPr>
          <w:rFonts w:ascii="Times New Roman"/>
        </w:rPr>
        <w:t>安全风险评估过程</w:t>
      </w:r>
      <w:r>
        <w:rPr>
          <w:rFonts w:hint="eastAsia" w:ascii="Times New Roman"/>
        </w:rPr>
        <w:t>宜</w:t>
      </w:r>
      <w:r>
        <w:rPr>
          <w:rFonts w:ascii="Times New Roman"/>
        </w:rPr>
        <w:t>是管理的组成部分，并融入到组织的结构、运行和过程中</w:t>
      </w:r>
      <w:r>
        <w:rPr>
          <w:rFonts w:hint="eastAsia" w:ascii="Times New Roman"/>
        </w:rPr>
        <w:t>，并贯穿于所有</w:t>
      </w:r>
      <w:r>
        <w:rPr>
          <w:rFonts w:ascii="Times New Roman"/>
        </w:rPr>
        <w:t>组织活动。</w:t>
      </w:r>
    </w:p>
    <w:p w14:paraId="11F1CEB8">
      <w:pPr>
        <w:pStyle w:val="67"/>
        <w:spacing w:before="156" w:after="156"/>
        <w:rPr>
          <w:rFonts w:ascii="Times New Roman"/>
        </w:rPr>
      </w:pPr>
      <w:bookmarkStart w:id="194" w:name="_Toc219206757"/>
      <w:bookmarkStart w:id="195" w:name="_Toc169876122"/>
      <w:bookmarkStart w:id="196" w:name="_Toc219211613"/>
      <w:bookmarkStart w:id="197" w:name="_Toc220079920"/>
      <w:bookmarkStart w:id="198" w:name="_Toc169881592"/>
      <w:bookmarkStart w:id="199" w:name="_Toc219898327"/>
      <w:r>
        <w:rPr>
          <w:rFonts w:ascii="Times New Roman"/>
        </w:rPr>
        <w:t>应对</w:t>
      </w:r>
      <w:bookmarkEnd w:id="194"/>
      <w:bookmarkEnd w:id="195"/>
      <w:bookmarkEnd w:id="196"/>
      <w:bookmarkEnd w:id="197"/>
      <w:bookmarkEnd w:id="198"/>
      <w:bookmarkEnd w:id="199"/>
    </w:p>
    <w:p w14:paraId="48DC7560">
      <w:pPr>
        <w:pStyle w:val="58"/>
        <w:ind w:firstLine="420"/>
        <w:rPr>
          <w:rFonts w:ascii="Times New Roman"/>
        </w:rPr>
      </w:pPr>
      <w:r>
        <w:rPr>
          <w:rFonts w:ascii="Times New Roman"/>
        </w:rPr>
        <w:t>安全风险应对的目的是选择和实施控制措施以减少风险。安全风险应对可包括：</w:t>
      </w:r>
    </w:p>
    <w:p w14:paraId="14CD4ADE">
      <w:pPr>
        <w:pStyle w:val="134"/>
        <w:rPr>
          <w:rFonts w:ascii="Times New Roman"/>
        </w:rPr>
      </w:pPr>
      <w:r>
        <w:rPr>
          <w:rFonts w:hint="eastAsia" w:ascii="Times New Roman"/>
        </w:rPr>
        <w:t>针对特定</w:t>
      </w:r>
      <w:r>
        <w:rPr>
          <w:rFonts w:ascii="Times New Roman"/>
        </w:rPr>
        <w:t>风险的</w:t>
      </w:r>
      <w:r>
        <w:rPr>
          <w:rFonts w:hint="eastAsia" w:ascii="Times New Roman"/>
        </w:rPr>
        <w:t>应对决策</w:t>
      </w:r>
      <w:r>
        <w:rPr>
          <w:rFonts w:ascii="Times New Roman"/>
        </w:rPr>
        <w:t>（规避风险、消除风险源、转移风险、分担风险、改变可能性、改变后果、接受风险，并在适当情况下，通过可接受的降低</w:t>
      </w:r>
      <w:r>
        <w:rPr>
          <w:rFonts w:hint="eastAsia" w:ascii="Times New Roman"/>
        </w:rPr>
        <w:t>性能</w:t>
      </w:r>
      <w:r>
        <w:rPr>
          <w:rFonts w:ascii="Times New Roman"/>
        </w:rPr>
        <w:t>或保护</w:t>
      </w:r>
      <w:r>
        <w:rPr>
          <w:rFonts w:hint="eastAsia" w:ascii="Times New Roman"/>
        </w:rPr>
        <w:t>等级</w:t>
      </w:r>
      <w:r>
        <w:rPr>
          <w:rFonts w:ascii="Times New Roman"/>
        </w:rPr>
        <w:t>来处理风险）；</w:t>
      </w:r>
    </w:p>
    <w:p w14:paraId="10D4AA04">
      <w:pPr>
        <w:pStyle w:val="134"/>
        <w:rPr>
          <w:rFonts w:ascii="Times New Roman"/>
        </w:rPr>
      </w:pPr>
      <w:r>
        <w:rPr>
          <w:rFonts w:ascii="Times New Roman"/>
        </w:rPr>
        <w:t>采取相关的安全控制措施；</w:t>
      </w:r>
    </w:p>
    <w:p w14:paraId="1345D0A6">
      <w:pPr>
        <w:pStyle w:val="134"/>
        <w:rPr>
          <w:rFonts w:ascii="Times New Roman"/>
        </w:rPr>
      </w:pPr>
      <w:r>
        <w:rPr>
          <w:rFonts w:ascii="Times New Roman"/>
        </w:rPr>
        <w:t>慎重考虑后决定保留风险；</w:t>
      </w:r>
    </w:p>
    <w:p w14:paraId="1E42D07C">
      <w:pPr>
        <w:pStyle w:val="134"/>
        <w:rPr>
          <w:rFonts w:ascii="Times New Roman"/>
        </w:rPr>
      </w:pPr>
      <w:r>
        <w:rPr>
          <w:rFonts w:ascii="Times New Roman"/>
        </w:rPr>
        <w:t>为确保措施充分而设计的控制和评估；</w:t>
      </w:r>
    </w:p>
    <w:p w14:paraId="2BB582B4">
      <w:pPr>
        <w:pStyle w:val="134"/>
        <w:rPr>
          <w:rFonts w:ascii="Times New Roman"/>
        </w:rPr>
      </w:pPr>
      <w:r>
        <w:rPr>
          <w:rFonts w:ascii="Times New Roman"/>
        </w:rPr>
        <w:t>根据特殊情况采取的分级安全措施</w:t>
      </w:r>
      <w:r>
        <w:rPr>
          <w:rFonts w:hint="eastAsia" w:ascii="Times New Roman"/>
        </w:rPr>
        <w:t>，</w:t>
      </w:r>
      <w:r>
        <w:rPr>
          <w:rFonts w:ascii="Times New Roman"/>
        </w:rPr>
        <w:t>如</w:t>
      </w:r>
      <w:r>
        <w:rPr>
          <w:rFonts w:hint="eastAsia" w:ascii="Times New Roman"/>
        </w:rPr>
        <w:t>按</w:t>
      </w:r>
      <w:r>
        <w:rPr>
          <w:rFonts w:ascii="Times New Roman"/>
        </w:rPr>
        <w:t>国家威胁</w:t>
      </w:r>
      <w:r>
        <w:rPr>
          <w:rFonts w:hint="eastAsia" w:ascii="Times New Roman"/>
        </w:rPr>
        <w:t>等级（应对</w:t>
      </w:r>
      <w:r>
        <w:rPr>
          <w:rFonts w:ascii="Times New Roman"/>
        </w:rPr>
        <w:t>方式也可能包括对</w:t>
      </w:r>
      <w:r>
        <w:rPr>
          <w:rFonts w:hint="eastAsia" w:ascii="Times New Roman"/>
        </w:rPr>
        <w:t>法规要求</w:t>
      </w:r>
      <w:r>
        <w:rPr>
          <w:rFonts w:ascii="Times New Roman"/>
        </w:rPr>
        <w:t>的</w:t>
      </w:r>
      <w:r>
        <w:rPr>
          <w:rFonts w:hint="eastAsia" w:ascii="Times New Roman"/>
        </w:rPr>
        <w:t>例外情况）</w:t>
      </w:r>
    </w:p>
    <w:p w14:paraId="3684BC74">
      <w:pPr>
        <w:pStyle w:val="134"/>
        <w:rPr>
          <w:rFonts w:ascii="Times New Roman"/>
        </w:rPr>
      </w:pPr>
      <w:r>
        <w:rPr>
          <w:rFonts w:ascii="Times New Roman"/>
        </w:rPr>
        <w:t>与当地执法部门和同等机构建立</w:t>
      </w:r>
      <w:r>
        <w:rPr>
          <w:rFonts w:hint="eastAsia" w:ascii="Times New Roman"/>
        </w:rPr>
        <w:t>协作机制</w:t>
      </w:r>
      <w:r>
        <w:rPr>
          <w:rFonts w:ascii="Times New Roman"/>
        </w:rPr>
        <w:t>，以</w:t>
      </w:r>
      <w:r>
        <w:rPr>
          <w:rFonts w:hint="eastAsia" w:ascii="Times New Roman"/>
        </w:rPr>
        <w:t>应对</w:t>
      </w:r>
      <w:r>
        <w:rPr>
          <w:rFonts w:ascii="Times New Roman"/>
        </w:rPr>
        <w:t>安全威胁情报共享和安全事件。</w:t>
      </w:r>
    </w:p>
    <w:p w14:paraId="03074A6B">
      <w:pPr>
        <w:pStyle w:val="67"/>
        <w:spacing w:before="156" w:after="156"/>
      </w:pPr>
      <w:bookmarkStart w:id="200" w:name="_Toc169881593"/>
      <w:bookmarkStart w:id="201" w:name="_Toc219898328"/>
      <w:bookmarkStart w:id="202" w:name="_Toc219211614"/>
      <w:bookmarkStart w:id="203" w:name="_Toc220079921"/>
      <w:bookmarkStart w:id="204" w:name="_Toc169876123"/>
      <w:bookmarkStart w:id="205" w:name="_Toc219206758"/>
      <w:r>
        <w:rPr>
          <w:rFonts w:hint="eastAsia"/>
        </w:rPr>
        <w:t>接受剩余安全风险等级</w:t>
      </w:r>
      <w:bookmarkEnd w:id="200"/>
      <w:bookmarkEnd w:id="201"/>
      <w:bookmarkEnd w:id="202"/>
      <w:bookmarkEnd w:id="203"/>
      <w:bookmarkEnd w:id="204"/>
      <w:bookmarkEnd w:id="205"/>
    </w:p>
    <w:p w14:paraId="5559E832">
      <w:pPr>
        <w:pStyle w:val="58"/>
        <w:ind w:firstLine="420"/>
        <w:rPr>
          <w:rFonts w:ascii="Times New Roman"/>
        </w:rPr>
      </w:pPr>
      <w:r>
        <w:rPr>
          <w:rFonts w:hint="eastAsia" w:ascii="Times New Roman"/>
        </w:rPr>
        <w:t>宜</w:t>
      </w:r>
      <w:r>
        <w:rPr>
          <w:rFonts w:ascii="Times New Roman"/>
        </w:rPr>
        <w:t>确定</w:t>
      </w:r>
      <w:r>
        <w:rPr>
          <w:rFonts w:hint="eastAsia" w:ascii="Times New Roman"/>
        </w:rPr>
        <w:t>接受剩余安全风险等级</w:t>
      </w:r>
      <w:r>
        <w:rPr>
          <w:rFonts w:ascii="Times New Roman"/>
        </w:rPr>
        <w:t>，以便组织就应用哪些安全控制</w:t>
      </w:r>
      <w:r>
        <w:rPr>
          <w:rFonts w:hint="eastAsia" w:ascii="Times New Roman"/>
        </w:rPr>
        <w:t>措施</w:t>
      </w:r>
      <w:r>
        <w:rPr>
          <w:rFonts w:ascii="Times New Roman"/>
        </w:rPr>
        <w:t>做出决策。任何</w:t>
      </w:r>
      <w:r>
        <w:rPr>
          <w:rFonts w:hint="eastAsia" w:ascii="Times New Roman"/>
        </w:rPr>
        <w:t>接受剩余安全风险等级</w:t>
      </w:r>
      <w:r>
        <w:rPr>
          <w:rFonts w:ascii="Times New Roman"/>
        </w:rPr>
        <w:t>都</w:t>
      </w:r>
      <w:r>
        <w:rPr>
          <w:rFonts w:hint="eastAsia" w:ascii="Times New Roman"/>
        </w:rPr>
        <w:t>宜</w:t>
      </w:r>
      <w:r>
        <w:rPr>
          <w:rFonts w:ascii="Times New Roman"/>
        </w:rPr>
        <w:t>基于组织能够接受的风险的类型和数量。</w:t>
      </w:r>
    </w:p>
    <w:p w14:paraId="59821375">
      <w:pPr>
        <w:pStyle w:val="67"/>
        <w:spacing w:before="156" w:after="156"/>
        <w:rPr>
          <w:rFonts w:ascii="Times New Roman"/>
        </w:rPr>
      </w:pPr>
      <w:bookmarkStart w:id="206" w:name="_Toc219211615"/>
      <w:bookmarkStart w:id="207" w:name="_Toc169876124"/>
      <w:bookmarkStart w:id="208" w:name="_Toc220079922"/>
      <w:bookmarkStart w:id="209" w:name="_Toc169881594"/>
      <w:bookmarkStart w:id="210" w:name="_Toc219898329"/>
      <w:bookmarkStart w:id="211" w:name="_Toc219206759"/>
      <w:r>
        <w:rPr>
          <w:rFonts w:ascii="Times New Roman"/>
        </w:rPr>
        <w:t>沟通和咨询</w:t>
      </w:r>
      <w:bookmarkEnd w:id="206"/>
      <w:bookmarkEnd w:id="207"/>
      <w:bookmarkEnd w:id="208"/>
      <w:bookmarkEnd w:id="209"/>
      <w:bookmarkEnd w:id="210"/>
      <w:bookmarkEnd w:id="211"/>
    </w:p>
    <w:p w14:paraId="1BA02FF4">
      <w:pPr>
        <w:pStyle w:val="58"/>
        <w:ind w:firstLine="420"/>
        <w:rPr>
          <w:rFonts w:ascii="Times New Roman"/>
        </w:rPr>
      </w:pPr>
      <w:r>
        <w:rPr>
          <w:rFonts w:ascii="Times New Roman"/>
        </w:rPr>
        <w:t>安全风险的沟通和咨询</w:t>
      </w:r>
      <w:r>
        <w:rPr>
          <w:rFonts w:hint="eastAsia" w:ascii="Times New Roman"/>
        </w:rPr>
        <w:t>，</w:t>
      </w:r>
      <w:r>
        <w:rPr>
          <w:rFonts w:ascii="Times New Roman"/>
        </w:rPr>
        <w:t>包括与内外部利益相关方</w:t>
      </w:r>
      <w:r>
        <w:rPr>
          <w:rFonts w:hint="eastAsia" w:ascii="Times New Roman"/>
        </w:rPr>
        <w:t>，宜</w:t>
      </w:r>
      <w:r>
        <w:rPr>
          <w:rFonts w:ascii="Times New Roman"/>
        </w:rPr>
        <w:t>进行安全风险沟通</w:t>
      </w:r>
      <w:r>
        <w:rPr>
          <w:rFonts w:hint="eastAsia" w:ascii="Times New Roman"/>
        </w:rPr>
        <w:t>的具体</w:t>
      </w:r>
      <w:r>
        <w:rPr>
          <w:rFonts w:ascii="Times New Roman"/>
        </w:rPr>
        <w:t>安排。这</w:t>
      </w:r>
      <w:r>
        <w:rPr>
          <w:rFonts w:hint="eastAsia" w:ascii="Times New Roman"/>
        </w:rPr>
        <w:t>宜</w:t>
      </w:r>
      <w:r>
        <w:rPr>
          <w:rFonts w:ascii="Times New Roman"/>
        </w:rPr>
        <w:t>包括：</w:t>
      </w:r>
    </w:p>
    <w:p w14:paraId="7CF707E3">
      <w:pPr>
        <w:pStyle w:val="134"/>
        <w:rPr>
          <w:rFonts w:ascii="Times New Roman"/>
        </w:rPr>
      </w:pPr>
      <w:r>
        <w:rPr>
          <w:rFonts w:ascii="Times New Roman"/>
        </w:rPr>
        <w:t>相关的安全风险环境；</w:t>
      </w:r>
    </w:p>
    <w:p w14:paraId="163DB587">
      <w:pPr>
        <w:pStyle w:val="134"/>
        <w:rPr>
          <w:rFonts w:ascii="Times New Roman"/>
        </w:rPr>
      </w:pPr>
      <w:r>
        <w:rPr>
          <w:rFonts w:ascii="Times New Roman"/>
        </w:rPr>
        <w:t>关键风险变量，如可能性、后果、危害性和脆弱性；</w:t>
      </w:r>
    </w:p>
    <w:p w14:paraId="4C3CEE30">
      <w:pPr>
        <w:pStyle w:val="134"/>
        <w:rPr>
          <w:rFonts w:ascii="Times New Roman"/>
        </w:rPr>
      </w:pPr>
      <w:r>
        <w:rPr>
          <w:rFonts w:ascii="Times New Roman"/>
        </w:rPr>
        <w:t>控制</w:t>
      </w:r>
      <w:r>
        <w:rPr>
          <w:rFonts w:hint="eastAsia" w:ascii="Times New Roman"/>
        </w:rPr>
        <w:t>措施</w:t>
      </w:r>
      <w:r>
        <w:rPr>
          <w:rFonts w:ascii="Times New Roman"/>
        </w:rPr>
        <w:t>；</w:t>
      </w:r>
    </w:p>
    <w:p w14:paraId="1541485A">
      <w:pPr>
        <w:pStyle w:val="134"/>
        <w:rPr>
          <w:rFonts w:ascii="Times New Roman"/>
        </w:rPr>
      </w:pPr>
      <w:r>
        <w:rPr>
          <w:rFonts w:ascii="Times New Roman"/>
        </w:rPr>
        <w:t>风险信息来源。</w:t>
      </w:r>
    </w:p>
    <w:p w14:paraId="389CEA61">
      <w:pPr>
        <w:pStyle w:val="67"/>
        <w:spacing w:before="156" w:after="156"/>
        <w:rPr>
          <w:rFonts w:ascii="Times New Roman"/>
        </w:rPr>
      </w:pPr>
      <w:bookmarkStart w:id="212" w:name="_Toc169876125"/>
      <w:bookmarkStart w:id="213" w:name="_Toc219206760"/>
      <w:bookmarkStart w:id="214" w:name="_Toc219898330"/>
      <w:bookmarkStart w:id="215" w:name="_Toc169881595"/>
      <w:bookmarkStart w:id="216" w:name="_Toc220079923"/>
      <w:bookmarkStart w:id="217" w:name="_Toc219211616"/>
      <w:r>
        <w:rPr>
          <w:rFonts w:ascii="Times New Roman"/>
        </w:rPr>
        <w:t>监视和评审</w:t>
      </w:r>
      <w:bookmarkEnd w:id="212"/>
      <w:bookmarkEnd w:id="213"/>
      <w:bookmarkEnd w:id="214"/>
      <w:bookmarkEnd w:id="215"/>
      <w:bookmarkEnd w:id="216"/>
      <w:bookmarkEnd w:id="217"/>
    </w:p>
    <w:p w14:paraId="64D768AA">
      <w:pPr>
        <w:pStyle w:val="58"/>
        <w:ind w:firstLine="420"/>
        <w:rPr>
          <w:rFonts w:ascii="Times New Roman"/>
        </w:rPr>
      </w:pPr>
      <w:r>
        <w:rPr>
          <w:rFonts w:ascii="Times New Roman"/>
        </w:rPr>
        <w:t>对安全风险的监视和评审</w:t>
      </w:r>
      <w:r>
        <w:rPr>
          <w:rFonts w:hint="eastAsia" w:ascii="Times New Roman"/>
        </w:rPr>
        <w:t>宜</w:t>
      </w:r>
      <w:r>
        <w:rPr>
          <w:rFonts w:ascii="Times New Roman"/>
        </w:rPr>
        <w:t>进行</w:t>
      </w:r>
      <w:r>
        <w:rPr>
          <w:rFonts w:hint="eastAsia" w:ascii="Times New Roman"/>
        </w:rPr>
        <w:t>计划</w:t>
      </w:r>
      <w:r>
        <w:rPr>
          <w:rFonts w:ascii="Times New Roman"/>
        </w:rPr>
        <w:t>（包括持续的和定期的），包括：</w:t>
      </w:r>
    </w:p>
    <w:p w14:paraId="7E5E3881">
      <w:pPr>
        <w:pStyle w:val="134"/>
        <w:rPr>
          <w:rFonts w:ascii="Times New Roman"/>
        </w:rPr>
      </w:pPr>
      <w:r>
        <w:rPr>
          <w:rFonts w:ascii="Times New Roman"/>
        </w:rPr>
        <w:t>确定报告活动的有关职责。</w:t>
      </w:r>
    </w:p>
    <w:p w14:paraId="7A05906F">
      <w:pPr>
        <w:pStyle w:val="134"/>
        <w:rPr>
          <w:rFonts w:ascii="Times New Roman"/>
        </w:rPr>
      </w:pPr>
      <w:r>
        <w:rPr>
          <w:rFonts w:ascii="Times New Roman"/>
        </w:rPr>
        <w:t>维护这些报告的保密性、完整性和可获得性。</w:t>
      </w:r>
    </w:p>
    <w:p w14:paraId="60EE1E70">
      <w:pPr>
        <w:pStyle w:val="67"/>
        <w:spacing w:before="156" w:after="156"/>
        <w:rPr>
          <w:rFonts w:ascii="Times New Roman"/>
        </w:rPr>
      </w:pPr>
      <w:bookmarkStart w:id="218" w:name="_Toc219211617"/>
      <w:bookmarkStart w:id="219" w:name="_Toc169881596"/>
      <w:bookmarkStart w:id="220" w:name="_Toc219898331"/>
      <w:bookmarkStart w:id="221" w:name="_Toc220079924"/>
      <w:bookmarkStart w:id="222" w:name="_Toc219206761"/>
      <w:bookmarkStart w:id="223" w:name="_Toc169876126"/>
      <w:r>
        <w:rPr>
          <w:rFonts w:ascii="Times New Roman"/>
        </w:rPr>
        <w:t>成文管理和记录</w:t>
      </w:r>
      <w:bookmarkEnd w:id="218"/>
      <w:bookmarkEnd w:id="219"/>
      <w:bookmarkEnd w:id="220"/>
      <w:bookmarkEnd w:id="221"/>
      <w:bookmarkEnd w:id="222"/>
      <w:bookmarkEnd w:id="223"/>
    </w:p>
    <w:p w14:paraId="1C63D68D">
      <w:pPr>
        <w:pStyle w:val="58"/>
        <w:ind w:firstLine="420"/>
        <w:rPr>
          <w:rFonts w:ascii="Times New Roman"/>
        </w:rPr>
      </w:pPr>
      <w:r>
        <w:rPr>
          <w:rFonts w:ascii="Times New Roman"/>
        </w:rPr>
        <w:t>组织</w:t>
      </w:r>
      <w:r>
        <w:rPr>
          <w:rFonts w:hint="eastAsia" w:ascii="Times New Roman"/>
        </w:rPr>
        <w:t>宜</w:t>
      </w:r>
      <w:r>
        <w:rPr>
          <w:rFonts w:ascii="Times New Roman"/>
        </w:rPr>
        <w:t>确保安全</w:t>
      </w:r>
      <w:r>
        <w:rPr>
          <w:rFonts w:hint="eastAsia" w:ascii="Times New Roman"/>
        </w:rPr>
        <w:t>计划</w:t>
      </w:r>
      <w:r>
        <w:rPr>
          <w:rFonts w:ascii="Times New Roman"/>
        </w:rPr>
        <w:t>和其他安全文件按照安全和文件控制方针和程序的要求进行管理。这包括：</w:t>
      </w:r>
    </w:p>
    <w:p w14:paraId="3C8B8BCB">
      <w:pPr>
        <w:pStyle w:val="134"/>
        <w:rPr>
          <w:rFonts w:ascii="Times New Roman"/>
        </w:rPr>
      </w:pPr>
      <w:r>
        <w:rPr>
          <w:rFonts w:ascii="Times New Roman"/>
        </w:rPr>
        <w:t>存储和保护；</w:t>
      </w:r>
    </w:p>
    <w:p w14:paraId="749E2C5D">
      <w:pPr>
        <w:pStyle w:val="134"/>
        <w:rPr>
          <w:rFonts w:ascii="Times New Roman"/>
        </w:rPr>
      </w:pPr>
      <w:r>
        <w:rPr>
          <w:rFonts w:ascii="Times New Roman"/>
        </w:rPr>
        <w:t>禁止未经授权的披露访问</w:t>
      </w:r>
      <w:r>
        <w:rPr>
          <w:rFonts w:hint="eastAsia" w:ascii="Times New Roman"/>
        </w:rPr>
        <w:t>；</w:t>
      </w:r>
    </w:p>
    <w:p w14:paraId="5712DA46">
      <w:pPr>
        <w:pStyle w:val="134"/>
        <w:rPr>
          <w:rFonts w:ascii="Times New Roman"/>
        </w:rPr>
      </w:pPr>
      <w:r>
        <w:rPr>
          <w:rFonts w:ascii="Times New Roman"/>
        </w:rPr>
        <w:t>以安全的方式</w:t>
      </w:r>
      <w:r>
        <w:rPr>
          <w:rFonts w:hint="eastAsia" w:ascii="Times New Roman"/>
        </w:rPr>
        <w:t>处置</w:t>
      </w:r>
      <w:r>
        <w:rPr>
          <w:rFonts w:ascii="Times New Roman"/>
        </w:rPr>
        <w:t>文件；</w:t>
      </w:r>
    </w:p>
    <w:p w14:paraId="3EA0A600">
      <w:pPr>
        <w:pStyle w:val="134"/>
        <w:rPr>
          <w:rFonts w:ascii="Times New Roman"/>
        </w:rPr>
      </w:pPr>
      <w:r>
        <w:rPr>
          <w:rFonts w:ascii="Times New Roman"/>
        </w:rPr>
        <w:t>维护安全计划的保密性、完整性和可获得性。</w:t>
      </w:r>
    </w:p>
    <w:p w14:paraId="7A360D82">
      <w:pPr>
        <w:pStyle w:val="107"/>
        <w:spacing w:before="156" w:after="156"/>
        <w:rPr>
          <w:rFonts w:ascii="Times New Roman"/>
        </w:rPr>
      </w:pPr>
      <w:bookmarkStart w:id="224" w:name="_Toc169881597"/>
      <w:bookmarkStart w:id="225" w:name="_Toc219206762"/>
      <w:bookmarkStart w:id="226" w:name="_Toc219211618"/>
      <w:bookmarkStart w:id="227" w:name="_Toc219898332"/>
      <w:bookmarkStart w:id="228" w:name="_Toc169516095"/>
      <w:bookmarkStart w:id="229" w:name="_Toc169876095"/>
      <w:bookmarkStart w:id="230" w:name="_Toc220079925"/>
      <w:bookmarkStart w:id="231" w:name="_Toc169876127"/>
      <w:r>
        <w:rPr>
          <w:rFonts w:ascii="Times New Roman"/>
        </w:rPr>
        <w:t>安全控制</w:t>
      </w:r>
      <w:bookmarkEnd w:id="224"/>
      <w:bookmarkEnd w:id="225"/>
      <w:bookmarkEnd w:id="226"/>
      <w:bookmarkEnd w:id="227"/>
      <w:bookmarkEnd w:id="228"/>
      <w:bookmarkEnd w:id="229"/>
      <w:bookmarkEnd w:id="230"/>
      <w:bookmarkEnd w:id="231"/>
    </w:p>
    <w:p w14:paraId="5C01B68C">
      <w:pPr>
        <w:pStyle w:val="67"/>
        <w:spacing w:before="156" w:after="156"/>
        <w:rPr>
          <w:rFonts w:ascii="Times New Roman"/>
        </w:rPr>
      </w:pPr>
      <w:bookmarkStart w:id="232" w:name="_Toc219211619"/>
      <w:bookmarkStart w:id="233" w:name="_Toc169881598"/>
      <w:bookmarkStart w:id="234" w:name="_Toc220079926"/>
      <w:bookmarkStart w:id="235" w:name="_Toc219898333"/>
      <w:bookmarkStart w:id="236" w:name="_Toc219206763"/>
      <w:bookmarkStart w:id="237" w:name="_Toc169876128"/>
      <w:r>
        <w:rPr>
          <w:rFonts w:ascii="Times New Roman"/>
        </w:rPr>
        <w:t>总则</w:t>
      </w:r>
      <w:bookmarkEnd w:id="232"/>
      <w:bookmarkEnd w:id="233"/>
      <w:bookmarkEnd w:id="234"/>
      <w:bookmarkEnd w:id="235"/>
      <w:bookmarkEnd w:id="236"/>
      <w:bookmarkEnd w:id="237"/>
    </w:p>
    <w:p w14:paraId="14AD51CB">
      <w:pPr>
        <w:pStyle w:val="58"/>
        <w:ind w:firstLine="420"/>
        <w:rPr>
          <w:rFonts w:ascii="Times New Roman"/>
        </w:rPr>
      </w:pPr>
      <w:r>
        <w:rPr>
          <w:rFonts w:ascii="Times New Roman"/>
        </w:rPr>
        <w:t>组织</w:t>
      </w:r>
      <w:r>
        <w:rPr>
          <w:rFonts w:hint="eastAsia" w:ascii="Times New Roman"/>
        </w:rPr>
        <w:t>宜</w:t>
      </w:r>
      <w:r>
        <w:rPr>
          <w:rFonts w:ascii="Times New Roman"/>
        </w:rPr>
        <w:t>确保安全</w:t>
      </w:r>
      <w:r>
        <w:rPr>
          <w:rFonts w:hint="eastAsia" w:ascii="Times New Roman"/>
        </w:rPr>
        <w:t>计划涵盖</w:t>
      </w:r>
      <w:r>
        <w:rPr>
          <w:rFonts w:ascii="Times New Roman"/>
        </w:rPr>
        <w:t>安全控制</w:t>
      </w:r>
      <w:r>
        <w:rPr>
          <w:rFonts w:hint="eastAsia" w:ascii="Times New Roman"/>
        </w:rPr>
        <w:t>措施</w:t>
      </w:r>
      <w:r>
        <w:rPr>
          <w:rFonts w:ascii="Times New Roman"/>
        </w:rPr>
        <w:t>，包括：</w:t>
      </w:r>
    </w:p>
    <w:p w14:paraId="3995506E">
      <w:pPr>
        <w:pStyle w:val="134"/>
        <w:rPr>
          <w:rFonts w:ascii="Times New Roman"/>
        </w:rPr>
      </w:pPr>
      <w:r>
        <w:rPr>
          <w:rFonts w:ascii="Times New Roman"/>
        </w:rPr>
        <w:t>保护</w:t>
      </w:r>
      <w:r>
        <w:rPr>
          <w:rFonts w:hint="eastAsia" w:ascii="Times New Roman"/>
        </w:rPr>
        <w:t>等级</w:t>
      </w:r>
      <w:r>
        <w:rPr>
          <w:rFonts w:ascii="Times New Roman"/>
        </w:rPr>
        <w:t>（见5.4.2）；</w:t>
      </w:r>
    </w:p>
    <w:p w14:paraId="02F7101D">
      <w:pPr>
        <w:pStyle w:val="134"/>
        <w:rPr>
          <w:rFonts w:ascii="Times New Roman"/>
        </w:rPr>
      </w:pPr>
      <w:r>
        <w:rPr>
          <w:rFonts w:ascii="Times New Roman"/>
        </w:rPr>
        <w:t>安全控制程序（见5.4.3）；</w:t>
      </w:r>
    </w:p>
    <w:p w14:paraId="4AEA1156">
      <w:pPr>
        <w:pStyle w:val="134"/>
        <w:rPr>
          <w:rFonts w:ascii="Times New Roman"/>
        </w:rPr>
      </w:pPr>
      <w:r>
        <w:rPr>
          <w:rFonts w:ascii="Times New Roman"/>
        </w:rPr>
        <w:t>运营</w:t>
      </w:r>
      <w:r>
        <w:rPr>
          <w:rFonts w:hint="eastAsia" w:ascii="Times New Roman"/>
        </w:rPr>
        <w:t>等级</w:t>
      </w:r>
      <w:r>
        <w:rPr>
          <w:rFonts w:ascii="Times New Roman"/>
        </w:rPr>
        <w:t>控制和评估（见5.4.4）；</w:t>
      </w:r>
    </w:p>
    <w:p w14:paraId="55D5709B">
      <w:pPr>
        <w:pStyle w:val="134"/>
        <w:rPr>
          <w:rFonts w:ascii="Times New Roman"/>
        </w:rPr>
      </w:pPr>
      <w:r>
        <w:rPr>
          <w:rFonts w:ascii="Times New Roman"/>
        </w:rPr>
        <w:t>低可能性和不可预见情况的应急</w:t>
      </w:r>
      <w:r>
        <w:rPr>
          <w:rFonts w:hint="eastAsia" w:ascii="Times New Roman"/>
        </w:rPr>
        <w:t>预案</w:t>
      </w:r>
      <w:r>
        <w:rPr>
          <w:rFonts w:ascii="Times New Roman"/>
        </w:rPr>
        <w:t>（见5.4.5）；</w:t>
      </w:r>
    </w:p>
    <w:p w14:paraId="14E0BD9B">
      <w:pPr>
        <w:pStyle w:val="134"/>
        <w:rPr>
          <w:rFonts w:ascii="Times New Roman"/>
        </w:rPr>
      </w:pPr>
      <w:r>
        <w:rPr>
          <w:rFonts w:ascii="Times New Roman"/>
        </w:rPr>
        <w:t>安全活动时间表（见5.4.6）。</w:t>
      </w:r>
    </w:p>
    <w:p w14:paraId="5A4D0593">
      <w:pPr>
        <w:pStyle w:val="58"/>
        <w:ind w:firstLine="420"/>
        <w:rPr>
          <w:rFonts w:ascii="Times New Roman"/>
        </w:rPr>
      </w:pPr>
      <w:r>
        <w:rPr>
          <w:rFonts w:ascii="Times New Roman"/>
        </w:rPr>
        <w:t>组织</w:t>
      </w:r>
      <w:r>
        <w:rPr>
          <w:rFonts w:hint="eastAsia" w:ascii="Times New Roman"/>
        </w:rPr>
        <w:t>宜</w:t>
      </w:r>
      <w:r>
        <w:rPr>
          <w:rFonts w:ascii="Times New Roman"/>
        </w:rPr>
        <w:t>对所有安全运行充分</w:t>
      </w:r>
      <w:r>
        <w:rPr>
          <w:rFonts w:hint="eastAsia" w:ascii="Times New Roman"/>
        </w:rPr>
        <w:t>规划</w:t>
      </w:r>
      <w:r>
        <w:rPr>
          <w:rFonts w:ascii="Times New Roman"/>
        </w:rPr>
        <w:t>，包括维护（定期计划任务）和干预（事件控制实施）。此外，组织</w:t>
      </w:r>
      <w:r>
        <w:rPr>
          <w:rFonts w:hint="eastAsia" w:ascii="Times New Roman"/>
        </w:rPr>
        <w:t>宜</w:t>
      </w:r>
      <w:r>
        <w:rPr>
          <w:rFonts w:ascii="Times New Roman"/>
        </w:rPr>
        <w:t>确保与安全控制</w:t>
      </w:r>
      <w:r>
        <w:rPr>
          <w:rFonts w:hint="eastAsia" w:ascii="Times New Roman"/>
        </w:rPr>
        <w:t>措施相关</w:t>
      </w:r>
      <w:r>
        <w:rPr>
          <w:rFonts w:ascii="Times New Roman"/>
        </w:rPr>
        <w:t>的信息</w:t>
      </w:r>
      <w:r>
        <w:rPr>
          <w:rFonts w:hint="eastAsia" w:ascii="Times New Roman"/>
        </w:rPr>
        <w:t>得到</w:t>
      </w:r>
      <w:r>
        <w:rPr>
          <w:rFonts w:ascii="Times New Roman"/>
        </w:rPr>
        <w:t>保护。</w:t>
      </w:r>
    </w:p>
    <w:p w14:paraId="26E99C57">
      <w:pPr>
        <w:pStyle w:val="67"/>
        <w:spacing w:before="156" w:after="156"/>
        <w:rPr>
          <w:rFonts w:ascii="Times New Roman"/>
        </w:rPr>
      </w:pPr>
      <w:bookmarkStart w:id="238" w:name="_Toc169876129"/>
      <w:bookmarkStart w:id="239" w:name="_Toc219206764"/>
      <w:bookmarkStart w:id="240" w:name="_Toc169881599"/>
      <w:bookmarkStart w:id="241" w:name="_Toc219898334"/>
      <w:bookmarkStart w:id="242" w:name="_Toc220079927"/>
      <w:bookmarkStart w:id="243" w:name="_Toc219211620"/>
      <w:r>
        <w:rPr>
          <w:rFonts w:ascii="Times New Roman"/>
        </w:rPr>
        <w:t>保护</w:t>
      </w:r>
      <w:bookmarkEnd w:id="238"/>
      <w:bookmarkEnd w:id="239"/>
      <w:bookmarkEnd w:id="240"/>
      <w:r>
        <w:rPr>
          <w:rFonts w:hint="eastAsia" w:ascii="Times New Roman"/>
        </w:rPr>
        <w:t>等级</w:t>
      </w:r>
      <w:bookmarkEnd w:id="241"/>
      <w:bookmarkEnd w:id="242"/>
      <w:bookmarkEnd w:id="243"/>
    </w:p>
    <w:p w14:paraId="3E52BE2E">
      <w:pPr>
        <w:pStyle w:val="58"/>
        <w:ind w:firstLine="420"/>
        <w:rPr>
          <w:rFonts w:ascii="Times New Roman"/>
        </w:rPr>
      </w:pPr>
      <w:r>
        <w:rPr>
          <w:rFonts w:ascii="Times New Roman"/>
        </w:rPr>
        <w:t>组织</w:t>
      </w:r>
      <w:r>
        <w:rPr>
          <w:rFonts w:hint="eastAsia" w:ascii="Times New Roman"/>
        </w:rPr>
        <w:t>宜为</w:t>
      </w:r>
      <w:r>
        <w:rPr>
          <w:rFonts w:ascii="Times New Roman"/>
        </w:rPr>
        <w:t>人员、有形和无形资产确定保护</w:t>
      </w:r>
      <w:r>
        <w:rPr>
          <w:rFonts w:hint="eastAsia" w:ascii="Times New Roman"/>
        </w:rPr>
        <w:t>等级</w:t>
      </w:r>
      <w:r>
        <w:rPr>
          <w:rFonts w:ascii="Times New Roman"/>
        </w:rPr>
        <w:t>，包括：</w:t>
      </w:r>
    </w:p>
    <w:p w14:paraId="514C8C78">
      <w:pPr>
        <w:pStyle w:val="134"/>
        <w:rPr>
          <w:rFonts w:ascii="Times New Roman"/>
        </w:rPr>
      </w:pPr>
      <w:r>
        <w:rPr>
          <w:rFonts w:ascii="Times New Roman"/>
        </w:rPr>
        <w:t>适</w:t>
      </w:r>
      <w:r>
        <w:rPr>
          <w:rFonts w:hint="eastAsia" w:ascii="Times New Roman"/>
        </w:rPr>
        <w:t>应</w:t>
      </w:r>
      <w:r>
        <w:rPr>
          <w:rFonts w:ascii="Times New Roman"/>
        </w:rPr>
        <w:t>不同的运营环境；</w:t>
      </w:r>
    </w:p>
    <w:p w14:paraId="5004ECAB">
      <w:pPr>
        <w:pStyle w:val="134"/>
        <w:rPr>
          <w:rFonts w:ascii="Times New Roman"/>
        </w:rPr>
      </w:pPr>
      <w:r>
        <w:rPr>
          <w:rFonts w:ascii="Times New Roman"/>
        </w:rPr>
        <w:t>根据选择准则确定安全风险的适当处理方式；</w:t>
      </w:r>
    </w:p>
    <w:p w14:paraId="2B26464B">
      <w:pPr>
        <w:pStyle w:val="134"/>
        <w:rPr>
          <w:rFonts w:ascii="Times New Roman"/>
        </w:rPr>
      </w:pPr>
      <w:r>
        <w:rPr>
          <w:rFonts w:hint="eastAsia" w:ascii="Times New Roman"/>
        </w:rPr>
        <w:t>反映风险接受等级设定中的后果评级；</w:t>
      </w:r>
    </w:p>
    <w:p w14:paraId="77EEC3A2">
      <w:pPr>
        <w:pStyle w:val="134"/>
        <w:rPr>
          <w:rFonts w:ascii="Times New Roman"/>
        </w:rPr>
      </w:pPr>
      <w:r>
        <w:rPr>
          <w:rFonts w:ascii="Times New Roman"/>
        </w:rPr>
        <w:t>适应并响应运营环境的变化</w:t>
      </w:r>
      <w:r>
        <w:rPr>
          <w:rFonts w:hint="eastAsia" w:ascii="Times New Roman"/>
        </w:rPr>
        <w:t>。</w:t>
      </w:r>
    </w:p>
    <w:p w14:paraId="259A8DA4">
      <w:pPr>
        <w:pStyle w:val="67"/>
        <w:spacing w:before="156" w:after="156"/>
        <w:rPr>
          <w:rFonts w:ascii="Times New Roman"/>
        </w:rPr>
      </w:pPr>
      <w:bookmarkStart w:id="244" w:name="_Toc219206765"/>
      <w:bookmarkStart w:id="245" w:name="_Toc219898335"/>
      <w:bookmarkStart w:id="246" w:name="_Toc220079928"/>
      <w:bookmarkStart w:id="247" w:name="_Toc169876130"/>
      <w:bookmarkStart w:id="248" w:name="_Toc219211621"/>
      <w:bookmarkStart w:id="249" w:name="_Toc169881600"/>
      <w:r>
        <w:rPr>
          <w:rFonts w:ascii="Times New Roman"/>
        </w:rPr>
        <w:t>安全控制程序</w:t>
      </w:r>
      <w:bookmarkEnd w:id="244"/>
      <w:bookmarkEnd w:id="245"/>
      <w:bookmarkEnd w:id="246"/>
      <w:bookmarkEnd w:id="247"/>
      <w:bookmarkEnd w:id="248"/>
      <w:bookmarkEnd w:id="249"/>
    </w:p>
    <w:p w14:paraId="6F2EE050">
      <w:pPr>
        <w:pStyle w:val="58"/>
        <w:ind w:firstLine="420"/>
        <w:rPr>
          <w:rFonts w:ascii="Times New Roman"/>
        </w:rPr>
      </w:pPr>
      <w:r>
        <w:rPr>
          <w:rFonts w:ascii="Times New Roman"/>
        </w:rPr>
        <w:t>安全控制的程序，包括安全运营和措施，</w:t>
      </w:r>
      <w:r>
        <w:rPr>
          <w:rFonts w:hint="eastAsia" w:ascii="Times New Roman"/>
        </w:rPr>
        <w:t>宜</w:t>
      </w:r>
      <w:r>
        <w:rPr>
          <w:rFonts w:ascii="Times New Roman"/>
        </w:rPr>
        <w:t>考虑：</w:t>
      </w:r>
    </w:p>
    <w:p w14:paraId="49A83831">
      <w:pPr>
        <w:pStyle w:val="134"/>
        <w:rPr>
          <w:rFonts w:ascii="Times New Roman"/>
        </w:rPr>
      </w:pPr>
      <w:r>
        <w:rPr>
          <w:rFonts w:ascii="Times New Roman"/>
        </w:rPr>
        <w:t>运营风险；</w:t>
      </w:r>
    </w:p>
    <w:p w14:paraId="0C226FD9">
      <w:pPr>
        <w:pStyle w:val="134"/>
        <w:rPr>
          <w:rFonts w:ascii="Times New Roman"/>
        </w:rPr>
      </w:pPr>
      <w:r>
        <w:rPr>
          <w:rFonts w:ascii="Times New Roman"/>
        </w:rPr>
        <w:t>特定的安全风险；</w:t>
      </w:r>
    </w:p>
    <w:p w14:paraId="68BB6F07">
      <w:pPr>
        <w:pStyle w:val="134"/>
        <w:rPr>
          <w:rFonts w:ascii="Times New Roman"/>
        </w:rPr>
      </w:pPr>
      <w:r>
        <w:rPr>
          <w:rFonts w:ascii="Times New Roman"/>
        </w:rPr>
        <w:t>风险来源；</w:t>
      </w:r>
    </w:p>
    <w:p w14:paraId="13566F43">
      <w:pPr>
        <w:pStyle w:val="134"/>
        <w:rPr>
          <w:rFonts w:ascii="Times New Roman"/>
        </w:rPr>
      </w:pPr>
      <w:r>
        <w:rPr>
          <w:rFonts w:ascii="Times New Roman"/>
        </w:rPr>
        <w:t>安全控制确定、定义和实施过程。</w:t>
      </w:r>
    </w:p>
    <w:p w14:paraId="7B8C0F37">
      <w:pPr>
        <w:pStyle w:val="67"/>
        <w:spacing w:before="156" w:after="156"/>
        <w:rPr>
          <w:rFonts w:ascii="Times New Roman"/>
        </w:rPr>
      </w:pPr>
      <w:bookmarkStart w:id="250" w:name="_Toc169876131"/>
      <w:bookmarkStart w:id="251" w:name="_Toc219211622"/>
      <w:bookmarkStart w:id="252" w:name="_Toc220079929"/>
      <w:bookmarkStart w:id="253" w:name="_Toc169881601"/>
      <w:bookmarkStart w:id="254" w:name="_Toc219898336"/>
      <w:bookmarkStart w:id="255" w:name="_Toc219206766"/>
      <w:r>
        <w:rPr>
          <w:rFonts w:ascii="Times New Roman"/>
        </w:rPr>
        <w:t>运营</w:t>
      </w:r>
      <w:r>
        <w:rPr>
          <w:rFonts w:hint="eastAsia" w:ascii="Times New Roman"/>
        </w:rPr>
        <w:t>等级</w:t>
      </w:r>
      <w:r>
        <w:rPr>
          <w:rFonts w:ascii="Times New Roman"/>
        </w:rPr>
        <w:t>控制和评估</w:t>
      </w:r>
      <w:bookmarkEnd w:id="250"/>
      <w:bookmarkEnd w:id="251"/>
      <w:bookmarkEnd w:id="252"/>
      <w:bookmarkEnd w:id="253"/>
      <w:bookmarkEnd w:id="254"/>
      <w:bookmarkEnd w:id="255"/>
    </w:p>
    <w:p w14:paraId="272B2FE9">
      <w:pPr>
        <w:pStyle w:val="58"/>
        <w:ind w:firstLine="420"/>
        <w:rPr>
          <w:rFonts w:ascii="Times New Roman"/>
        </w:rPr>
      </w:pPr>
      <w:r>
        <w:rPr>
          <w:rFonts w:ascii="Times New Roman"/>
        </w:rPr>
        <w:t>组织</w:t>
      </w:r>
      <w:r>
        <w:rPr>
          <w:rFonts w:hint="eastAsia" w:ascii="Times New Roman"/>
        </w:rPr>
        <w:t>宜</w:t>
      </w:r>
      <w:r>
        <w:rPr>
          <w:rFonts w:ascii="Times New Roman"/>
        </w:rPr>
        <w:t>为安全</w:t>
      </w:r>
      <w:r>
        <w:rPr>
          <w:rFonts w:hint="eastAsia" w:ascii="Times New Roman"/>
        </w:rPr>
        <w:t>计划</w:t>
      </w:r>
      <w:r>
        <w:rPr>
          <w:rFonts w:ascii="Times New Roman"/>
        </w:rPr>
        <w:t>制定运营</w:t>
      </w:r>
      <w:r>
        <w:rPr>
          <w:rFonts w:hint="eastAsia" w:ascii="Times New Roman"/>
        </w:rPr>
        <w:t>等级</w:t>
      </w:r>
      <w:r>
        <w:rPr>
          <w:rFonts w:ascii="Times New Roman"/>
        </w:rPr>
        <w:t>控制和评估。这包括参考相关的方针、程序、说明和其他安全</w:t>
      </w:r>
      <w:r>
        <w:rPr>
          <w:rFonts w:hint="eastAsia" w:ascii="Times New Roman"/>
        </w:rPr>
        <w:t>计划</w:t>
      </w:r>
      <w:r>
        <w:rPr>
          <w:rFonts w:ascii="Times New Roman"/>
        </w:rPr>
        <w:t>，</w:t>
      </w:r>
      <w:r>
        <w:rPr>
          <w:rFonts w:hint="eastAsia" w:ascii="Times New Roman"/>
        </w:rPr>
        <w:t>并建立</w:t>
      </w:r>
      <w:r>
        <w:rPr>
          <w:rFonts w:ascii="Times New Roman"/>
        </w:rPr>
        <w:t>能够及时响应</w:t>
      </w:r>
      <w:r>
        <w:rPr>
          <w:rFonts w:hint="eastAsia" w:ascii="Times New Roman"/>
        </w:rPr>
        <w:t>突发</w:t>
      </w:r>
      <w:r>
        <w:rPr>
          <w:rFonts w:ascii="Times New Roman"/>
        </w:rPr>
        <w:t>事件的适应性机制。</w:t>
      </w:r>
    </w:p>
    <w:p w14:paraId="6A68B1D5">
      <w:pPr>
        <w:pStyle w:val="58"/>
        <w:ind w:firstLine="420"/>
        <w:rPr>
          <w:rFonts w:ascii="Times New Roman"/>
        </w:rPr>
      </w:pPr>
      <w:r>
        <w:rPr>
          <w:rFonts w:hint="eastAsia" w:ascii="Times New Roman"/>
        </w:rPr>
        <w:t>该过程宜</w:t>
      </w:r>
      <w:r>
        <w:rPr>
          <w:rFonts w:ascii="Times New Roman"/>
        </w:rPr>
        <w:t>包括管理不确定性和歧义。包括</w:t>
      </w:r>
      <w:r>
        <w:rPr>
          <w:rFonts w:hint="eastAsia" w:ascii="Times New Roman"/>
        </w:rPr>
        <w:t>防护安全</w:t>
      </w:r>
      <w:r>
        <w:rPr>
          <w:rFonts w:ascii="Times New Roman"/>
        </w:rPr>
        <w:t>领域的风险和控制。考虑到：</w:t>
      </w:r>
    </w:p>
    <w:p w14:paraId="4B517267">
      <w:pPr>
        <w:pStyle w:val="134"/>
        <w:rPr>
          <w:rFonts w:ascii="Times New Roman"/>
        </w:rPr>
      </w:pPr>
      <w:r>
        <w:rPr>
          <w:rFonts w:ascii="Times New Roman"/>
        </w:rPr>
        <w:t>安全治理：</w:t>
      </w:r>
    </w:p>
    <w:p w14:paraId="0ECE8742">
      <w:pPr>
        <w:pStyle w:val="189"/>
        <w:rPr>
          <w:rFonts w:ascii="Times New Roman"/>
        </w:rPr>
      </w:pPr>
      <w:r>
        <w:rPr>
          <w:rFonts w:ascii="Times New Roman"/>
        </w:rPr>
        <w:t>岗位和职责；</w:t>
      </w:r>
    </w:p>
    <w:p w14:paraId="43A18F70">
      <w:pPr>
        <w:pStyle w:val="189"/>
        <w:rPr>
          <w:rFonts w:ascii="Times New Roman"/>
        </w:rPr>
      </w:pPr>
      <w:r>
        <w:rPr>
          <w:rFonts w:ascii="Times New Roman"/>
        </w:rPr>
        <w:t>风险容忍；</w:t>
      </w:r>
    </w:p>
    <w:p w14:paraId="10C04E61">
      <w:pPr>
        <w:pStyle w:val="189"/>
        <w:rPr>
          <w:rFonts w:ascii="Times New Roman"/>
        </w:rPr>
      </w:pPr>
      <w:r>
        <w:rPr>
          <w:rFonts w:ascii="Times New Roman"/>
        </w:rPr>
        <w:t>安全风险管理（包括威胁、脆弱性和关键性评估）；</w:t>
      </w:r>
    </w:p>
    <w:p w14:paraId="21A2256B">
      <w:pPr>
        <w:pStyle w:val="189"/>
        <w:rPr>
          <w:rFonts w:ascii="Times New Roman"/>
        </w:rPr>
      </w:pPr>
      <w:r>
        <w:rPr>
          <w:rFonts w:ascii="Times New Roman"/>
        </w:rPr>
        <w:t>安全事</w:t>
      </w:r>
      <w:r>
        <w:rPr>
          <w:rFonts w:hint="eastAsia" w:ascii="Times New Roman"/>
        </w:rPr>
        <w:t>件</w:t>
      </w:r>
      <w:r>
        <w:rPr>
          <w:rFonts w:ascii="Times New Roman"/>
        </w:rPr>
        <w:t>；</w:t>
      </w:r>
    </w:p>
    <w:p w14:paraId="27A52198">
      <w:pPr>
        <w:pStyle w:val="189"/>
        <w:rPr>
          <w:rFonts w:ascii="Times New Roman"/>
        </w:rPr>
      </w:pPr>
      <w:r>
        <w:rPr>
          <w:rFonts w:ascii="Times New Roman"/>
        </w:rPr>
        <w:t>安全文化；</w:t>
      </w:r>
    </w:p>
    <w:p w14:paraId="0657C8E9">
      <w:pPr>
        <w:pStyle w:val="189"/>
        <w:rPr>
          <w:rFonts w:ascii="Times New Roman"/>
        </w:rPr>
      </w:pPr>
      <w:r>
        <w:rPr>
          <w:rFonts w:ascii="Times New Roman"/>
        </w:rPr>
        <w:t>安全意识和培训；</w:t>
      </w:r>
    </w:p>
    <w:p w14:paraId="5AFE1176">
      <w:pPr>
        <w:pStyle w:val="189"/>
        <w:rPr>
          <w:rFonts w:ascii="Times New Roman"/>
        </w:rPr>
      </w:pPr>
      <w:r>
        <w:rPr>
          <w:rFonts w:ascii="Times New Roman"/>
        </w:rPr>
        <w:t>安全监视；</w:t>
      </w:r>
    </w:p>
    <w:p w14:paraId="68BF1E11">
      <w:pPr>
        <w:pStyle w:val="189"/>
        <w:rPr>
          <w:rFonts w:ascii="Times New Roman"/>
        </w:rPr>
      </w:pPr>
      <w:r>
        <w:rPr>
          <w:rFonts w:ascii="Times New Roman"/>
        </w:rPr>
        <w:t>安全报告成熟度；</w:t>
      </w:r>
    </w:p>
    <w:p w14:paraId="45F5D951">
      <w:pPr>
        <w:pStyle w:val="189"/>
        <w:rPr>
          <w:rFonts w:ascii="Times New Roman"/>
        </w:rPr>
      </w:pPr>
      <w:r>
        <w:rPr>
          <w:rFonts w:ascii="Times New Roman"/>
        </w:rPr>
        <w:t>合同服务供</w:t>
      </w:r>
      <w:r>
        <w:rPr>
          <w:rFonts w:hint="eastAsia" w:ascii="Times New Roman"/>
        </w:rPr>
        <w:t>方</w:t>
      </w:r>
      <w:r>
        <w:rPr>
          <w:rFonts w:ascii="Times New Roman"/>
        </w:rPr>
        <w:t>；</w:t>
      </w:r>
    </w:p>
    <w:p w14:paraId="744D1866">
      <w:pPr>
        <w:pStyle w:val="134"/>
        <w:rPr>
          <w:rFonts w:ascii="Times New Roman"/>
        </w:rPr>
      </w:pPr>
      <w:r>
        <w:rPr>
          <w:rFonts w:ascii="Times New Roman"/>
        </w:rPr>
        <w:t>人员安全：</w:t>
      </w:r>
    </w:p>
    <w:p w14:paraId="1BC19124">
      <w:pPr>
        <w:pStyle w:val="189"/>
        <w:rPr>
          <w:rFonts w:ascii="Times New Roman"/>
        </w:rPr>
      </w:pPr>
      <w:r>
        <w:rPr>
          <w:rFonts w:ascii="Times New Roman"/>
        </w:rPr>
        <w:t>招聘过程中的人员安全规定；</w:t>
      </w:r>
    </w:p>
    <w:p w14:paraId="46FB8C0B">
      <w:pPr>
        <w:pStyle w:val="189"/>
        <w:rPr>
          <w:rFonts w:ascii="Times New Roman"/>
        </w:rPr>
      </w:pPr>
      <w:r>
        <w:rPr>
          <w:rFonts w:hint="eastAsia" w:ascii="Times New Roman"/>
        </w:rPr>
        <w:t>针对</w:t>
      </w:r>
      <w:r>
        <w:rPr>
          <w:rFonts w:ascii="Times New Roman"/>
        </w:rPr>
        <w:t>安全审查期间发现的风险</w:t>
      </w:r>
      <w:r>
        <w:rPr>
          <w:rFonts w:hint="eastAsia" w:ascii="Times New Roman"/>
        </w:rPr>
        <w:t>而</w:t>
      </w:r>
      <w:r>
        <w:rPr>
          <w:rFonts w:ascii="Times New Roman"/>
        </w:rPr>
        <w:t>制定的安全</w:t>
      </w:r>
      <w:r>
        <w:rPr>
          <w:rFonts w:hint="eastAsia" w:ascii="Times New Roman"/>
        </w:rPr>
        <w:t>审查</w:t>
      </w:r>
      <w:r>
        <w:rPr>
          <w:rFonts w:ascii="Times New Roman"/>
        </w:rPr>
        <w:t>维护计划；</w:t>
      </w:r>
    </w:p>
    <w:p w14:paraId="047D9968">
      <w:pPr>
        <w:pStyle w:val="189"/>
        <w:rPr>
          <w:rFonts w:ascii="Times New Roman"/>
        </w:rPr>
      </w:pPr>
      <w:r>
        <w:rPr>
          <w:rFonts w:hint="eastAsia" w:ascii="Times New Roman"/>
        </w:rPr>
        <w:t>有关</w:t>
      </w:r>
      <w:r>
        <w:rPr>
          <w:rFonts w:ascii="Times New Roman"/>
        </w:rPr>
        <w:t>信任或敏感岗位的过程；</w:t>
      </w:r>
    </w:p>
    <w:p w14:paraId="1D3AEDC3">
      <w:pPr>
        <w:pStyle w:val="189"/>
        <w:rPr>
          <w:rFonts w:ascii="Times New Roman"/>
        </w:rPr>
      </w:pPr>
      <w:r>
        <w:rPr>
          <w:rFonts w:hint="eastAsia" w:ascii="Times New Roman"/>
        </w:rPr>
        <w:t>接触</w:t>
      </w:r>
      <w:r>
        <w:rPr>
          <w:rFonts w:ascii="Times New Roman"/>
        </w:rPr>
        <w:t>报告；</w:t>
      </w:r>
    </w:p>
    <w:p w14:paraId="5BA2E861">
      <w:pPr>
        <w:pStyle w:val="189"/>
        <w:rPr>
          <w:rFonts w:ascii="Times New Roman"/>
        </w:rPr>
      </w:pPr>
      <w:r>
        <w:rPr>
          <w:rFonts w:ascii="Times New Roman"/>
        </w:rPr>
        <w:t>在整个就业期间的安全审查管理；</w:t>
      </w:r>
    </w:p>
    <w:p w14:paraId="689BEFE6">
      <w:pPr>
        <w:pStyle w:val="189"/>
        <w:rPr>
          <w:rFonts w:ascii="Times New Roman"/>
        </w:rPr>
      </w:pPr>
      <w:r>
        <w:rPr>
          <w:rFonts w:ascii="Times New Roman"/>
        </w:rPr>
        <w:t>持续的安全意识和培训；</w:t>
      </w:r>
    </w:p>
    <w:p w14:paraId="2564720F">
      <w:pPr>
        <w:pStyle w:val="189"/>
        <w:rPr>
          <w:rFonts w:ascii="Times New Roman"/>
        </w:rPr>
      </w:pPr>
      <w:r>
        <w:rPr>
          <w:rFonts w:ascii="Times New Roman"/>
        </w:rPr>
        <w:t>离职人员管理；</w:t>
      </w:r>
    </w:p>
    <w:p w14:paraId="4E4D4BFC">
      <w:pPr>
        <w:pStyle w:val="134"/>
        <w:rPr>
          <w:rFonts w:ascii="Times New Roman"/>
        </w:rPr>
      </w:pPr>
      <w:r>
        <w:rPr>
          <w:rFonts w:ascii="Times New Roman"/>
        </w:rPr>
        <w:t>信息安全：</w:t>
      </w:r>
    </w:p>
    <w:p w14:paraId="7608E4AE">
      <w:pPr>
        <w:pStyle w:val="189"/>
        <w:rPr>
          <w:rFonts w:ascii="Times New Roman"/>
        </w:rPr>
      </w:pPr>
      <w:r>
        <w:rPr>
          <w:rFonts w:ascii="Times New Roman"/>
        </w:rPr>
        <w:t>信息</w:t>
      </w:r>
      <w:r>
        <w:rPr>
          <w:rFonts w:hint="eastAsia" w:ascii="Times New Roman"/>
        </w:rPr>
        <w:t>资产</w:t>
      </w:r>
      <w:r>
        <w:rPr>
          <w:rFonts w:ascii="Times New Roman"/>
        </w:rPr>
        <w:t>的分类和管理安排；</w:t>
      </w:r>
    </w:p>
    <w:p w14:paraId="102FD1D9">
      <w:pPr>
        <w:pStyle w:val="189"/>
        <w:rPr>
          <w:rFonts w:ascii="Times New Roman"/>
        </w:rPr>
      </w:pPr>
      <w:r>
        <w:rPr>
          <w:rFonts w:ascii="Times New Roman"/>
        </w:rPr>
        <w:t>信息</w:t>
      </w:r>
      <w:r>
        <w:rPr>
          <w:rFonts w:hint="eastAsia" w:ascii="Times New Roman"/>
        </w:rPr>
        <w:t>访问</w:t>
      </w:r>
      <w:r>
        <w:rPr>
          <w:rFonts w:ascii="Times New Roman"/>
        </w:rPr>
        <w:t>，包括信息共享；</w:t>
      </w:r>
    </w:p>
    <w:p w14:paraId="6718EFEF">
      <w:pPr>
        <w:pStyle w:val="189"/>
        <w:rPr>
          <w:rFonts w:ascii="Times New Roman"/>
        </w:rPr>
      </w:pPr>
      <w:r>
        <w:rPr>
          <w:rFonts w:hint="eastAsia" w:ascii="Times New Roman"/>
        </w:rPr>
        <w:t>组织</w:t>
      </w:r>
      <w:r>
        <w:rPr>
          <w:rFonts w:ascii="Times New Roman"/>
        </w:rPr>
        <w:t>内部以及在</w:t>
      </w:r>
      <w:r>
        <w:rPr>
          <w:rFonts w:hint="eastAsia" w:ascii="Times New Roman"/>
        </w:rPr>
        <w:t>传</w:t>
      </w:r>
      <w:r>
        <w:rPr>
          <w:rFonts w:ascii="Times New Roman"/>
        </w:rPr>
        <w:t>输</w:t>
      </w:r>
      <w:r>
        <w:rPr>
          <w:rFonts w:hint="eastAsia" w:ascii="Times New Roman"/>
        </w:rPr>
        <w:t>过程</w:t>
      </w:r>
      <w:r>
        <w:rPr>
          <w:rFonts w:ascii="Times New Roman"/>
        </w:rPr>
        <w:t>或办公</w:t>
      </w:r>
      <w:r>
        <w:rPr>
          <w:rFonts w:hint="eastAsia" w:ascii="Times New Roman"/>
        </w:rPr>
        <w:t>场所外</w:t>
      </w:r>
      <w:r>
        <w:rPr>
          <w:rFonts w:ascii="Times New Roman"/>
        </w:rPr>
        <w:t>的信息处理；</w:t>
      </w:r>
    </w:p>
    <w:p w14:paraId="56A6A444">
      <w:pPr>
        <w:pStyle w:val="134"/>
        <w:rPr>
          <w:rFonts w:ascii="Times New Roman"/>
        </w:rPr>
      </w:pPr>
      <w:r>
        <w:rPr>
          <w:rFonts w:ascii="Times New Roman"/>
        </w:rPr>
        <w:t>网络安全：</w:t>
      </w:r>
    </w:p>
    <w:p w14:paraId="33E58A8B">
      <w:pPr>
        <w:pStyle w:val="189"/>
        <w:rPr>
          <w:rFonts w:ascii="Times New Roman"/>
        </w:rPr>
      </w:pPr>
      <w:r>
        <w:rPr>
          <w:rFonts w:ascii="Times New Roman"/>
        </w:rPr>
        <w:t>信息和通信技术（ICT）接入和系统安全；</w:t>
      </w:r>
    </w:p>
    <w:p w14:paraId="62E0E595">
      <w:pPr>
        <w:pStyle w:val="189"/>
        <w:rPr>
          <w:rFonts w:ascii="Times New Roman"/>
        </w:rPr>
      </w:pPr>
      <w:r>
        <w:rPr>
          <w:rFonts w:hint="eastAsia" w:ascii="Times New Roman"/>
        </w:rPr>
        <w:t>用于减少针对性入侵的</w:t>
      </w:r>
      <w:r>
        <w:rPr>
          <w:rFonts w:ascii="Times New Roman"/>
        </w:rPr>
        <w:t>网络安全</w:t>
      </w:r>
      <w:r>
        <w:rPr>
          <w:rFonts w:hint="eastAsia" w:ascii="Times New Roman"/>
        </w:rPr>
        <w:t>措施</w:t>
      </w:r>
      <w:r>
        <w:rPr>
          <w:rFonts w:ascii="Times New Roman"/>
        </w:rPr>
        <w:t>；</w:t>
      </w:r>
    </w:p>
    <w:p w14:paraId="269AC473">
      <w:pPr>
        <w:pStyle w:val="134"/>
        <w:rPr>
          <w:rFonts w:ascii="Times New Roman"/>
        </w:rPr>
      </w:pPr>
      <w:r>
        <w:rPr>
          <w:rFonts w:ascii="Times New Roman"/>
        </w:rPr>
        <w:t>物理安全：</w:t>
      </w:r>
    </w:p>
    <w:p w14:paraId="7FC85EF5">
      <w:pPr>
        <w:pStyle w:val="189"/>
        <w:rPr>
          <w:rFonts w:ascii="Times New Roman"/>
        </w:rPr>
      </w:pPr>
      <w:r>
        <w:rPr>
          <w:rFonts w:ascii="Times New Roman"/>
        </w:rPr>
        <w:t>访问控制系统；</w:t>
      </w:r>
    </w:p>
    <w:p w14:paraId="63440A92">
      <w:pPr>
        <w:pStyle w:val="189"/>
        <w:rPr>
          <w:rFonts w:ascii="Times New Roman"/>
        </w:rPr>
      </w:pPr>
      <w:r>
        <w:rPr>
          <w:rFonts w:ascii="Times New Roman"/>
        </w:rPr>
        <w:t>安全监视和报警系统；</w:t>
      </w:r>
    </w:p>
    <w:p w14:paraId="1AB2FB8C">
      <w:pPr>
        <w:pStyle w:val="189"/>
        <w:rPr>
          <w:rFonts w:ascii="Times New Roman"/>
        </w:rPr>
      </w:pPr>
      <w:r>
        <w:rPr>
          <w:rFonts w:ascii="Times New Roman"/>
        </w:rPr>
        <w:t>特定威胁</w:t>
      </w:r>
      <w:r>
        <w:rPr>
          <w:rFonts w:hint="eastAsia" w:ascii="Times New Roman"/>
        </w:rPr>
        <w:t>升级时</w:t>
      </w:r>
      <w:r>
        <w:rPr>
          <w:rFonts w:ascii="Times New Roman"/>
        </w:rPr>
        <w:t>加强</w:t>
      </w:r>
      <w:r>
        <w:rPr>
          <w:rFonts w:hint="eastAsia" w:ascii="Times New Roman"/>
        </w:rPr>
        <w:t>的</w:t>
      </w:r>
      <w:r>
        <w:rPr>
          <w:rFonts w:ascii="Times New Roman"/>
        </w:rPr>
        <w:t>安全措施。</w:t>
      </w:r>
    </w:p>
    <w:p w14:paraId="4FBF3BA7">
      <w:pPr>
        <w:pStyle w:val="67"/>
        <w:spacing w:before="156" w:after="156"/>
        <w:rPr>
          <w:rFonts w:ascii="Times New Roman"/>
        </w:rPr>
      </w:pPr>
      <w:bookmarkStart w:id="256" w:name="_Toc169881602"/>
      <w:bookmarkStart w:id="257" w:name="_Toc219898337"/>
      <w:bookmarkStart w:id="258" w:name="_Toc169876132"/>
      <w:bookmarkStart w:id="259" w:name="_Toc220079930"/>
      <w:bookmarkStart w:id="260" w:name="_Toc219211623"/>
      <w:bookmarkStart w:id="261" w:name="_Toc219206767"/>
      <w:r>
        <w:rPr>
          <w:rFonts w:ascii="Times New Roman"/>
        </w:rPr>
        <w:t>低可能性和不可预见情况的应急</w:t>
      </w:r>
      <w:r>
        <w:rPr>
          <w:rFonts w:hint="eastAsia" w:ascii="Times New Roman"/>
        </w:rPr>
        <w:t>预案</w:t>
      </w:r>
      <w:bookmarkEnd w:id="256"/>
      <w:bookmarkEnd w:id="257"/>
      <w:bookmarkEnd w:id="258"/>
      <w:bookmarkEnd w:id="259"/>
      <w:bookmarkEnd w:id="260"/>
      <w:bookmarkEnd w:id="261"/>
    </w:p>
    <w:p w14:paraId="532A4282">
      <w:pPr>
        <w:pStyle w:val="58"/>
        <w:ind w:firstLine="420"/>
        <w:rPr>
          <w:rFonts w:ascii="Times New Roman"/>
        </w:rPr>
      </w:pPr>
      <w:r>
        <w:rPr>
          <w:rFonts w:ascii="Times New Roman"/>
        </w:rPr>
        <w:t>组织</w:t>
      </w:r>
      <w:r>
        <w:rPr>
          <w:rFonts w:hint="eastAsia" w:ascii="Times New Roman"/>
        </w:rPr>
        <w:t>宜</w:t>
      </w:r>
      <w:r>
        <w:rPr>
          <w:rFonts w:ascii="Times New Roman"/>
        </w:rPr>
        <w:t>确保安全风险评估能够灵活适应不可预见的情况。</w:t>
      </w:r>
    </w:p>
    <w:p w14:paraId="46279E3B">
      <w:pPr>
        <w:pStyle w:val="181"/>
        <w:rPr>
          <w:rFonts w:ascii="Times New Roman"/>
        </w:rPr>
      </w:pPr>
      <w:r>
        <w:rPr>
          <w:rFonts w:ascii="Times New Roman"/>
        </w:rPr>
        <w:t>GB/T 42187 提供了关于组织韧性的指导。</w:t>
      </w:r>
    </w:p>
    <w:p w14:paraId="5A6B4580">
      <w:pPr>
        <w:pStyle w:val="67"/>
        <w:spacing w:before="156" w:after="156"/>
        <w:rPr>
          <w:rFonts w:ascii="Times New Roman"/>
        </w:rPr>
      </w:pPr>
      <w:bookmarkStart w:id="262" w:name="_Toc219206768"/>
      <w:bookmarkStart w:id="263" w:name="_Toc219898338"/>
      <w:bookmarkStart w:id="264" w:name="_Toc169881603"/>
      <w:bookmarkStart w:id="265" w:name="_Toc169876133"/>
      <w:bookmarkStart w:id="266" w:name="_Toc220079931"/>
      <w:bookmarkStart w:id="267" w:name="_Toc219211624"/>
      <w:r>
        <w:rPr>
          <w:rFonts w:ascii="Times New Roman"/>
        </w:rPr>
        <w:t>安全活动时间表</w:t>
      </w:r>
      <w:bookmarkEnd w:id="262"/>
      <w:bookmarkEnd w:id="263"/>
      <w:bookmarkEnd w:id="264"/>
      <w:bookmarkEnd w:id="265"/>
      <w:bookmarkEnd w:id="266"/>
      <w:bookmarkEnd w:id="267"/>
    </w:p>
    <w:p w14:paraId="2CCC538C">
      <w:pPr>
        <w:pStyle w:val="58"/>
        <w:ind w:firstLine="420"/>
        <w:rPr>
          <w:rFonts w:ascii="Times New Roman"/>
        </w:rPr>
      </w:pPr>
      <w:r>
        <w:rPr>
          <w:rFonts w:ascii="Times New Roman"/>
        </w:rPr>
        <w:t>组织</w:t>
      </w:r>
      <w:r>
        <w:rPr>
          <w:rFonts w:hint="eastAsia" w:ascii="Times New Roman"/>
        </w:rPr>
        <w:t>宜</w:t>
      </w:r>
      <w:r>
        <w:rPr>
          <w:rFonts w:ascii="Times New Roman"/>
        </w:rPr>
        <w:t>为安全活动建立时间表，其中包括持续时间和同步时间。</w:t>
      </w:r>
    </w:p>
    <w:p w14:paraId="05850FE1">
      <w:pPr>
        <w:pStyle w:val="107"/>
        <w:spacing w:before="156" w:after="156"/>
        <w:rPr>
          <w:rFonts w:ascii="Times New Roman"/>
        </w:rPr>
      </w:pPr>
      <w:bookmarkStart w:id="268" w:name="_Toc220079932"/>
      <w:bookmarkStart w:id="269" w:name="_Toc169876134"/>
      <w:bookmarkStart w:id="270" w:name="_Toc219898339"/>
      <w:bookmarkStart w:id="271" w:name="_Toc219211625"/>
      <w:bookmarkStart w:id="272" w:name="_Toc169516096"/>
      <w:bookmarkStart w:id="273" w:name="_Toc169876096"/>
      <w:bookmarkStart w:id="274" w:name="_Toc219206769"/>
      <w:bookmarkStart w:id="275" w:name="_Toc169881604"/>
      <w:r>
        <w:rPr>
          <w:rFonts w:ascii="Times New Roman"/>
        </w:rPr>
        <w:t>安全控制过程</w:t>
      </w:r>
      <w:bookmarkEnd w:id="268"/>
      <w:bookmarkEnd w:id="269"/>
      <w:bookmarkEnd w:id="270"/>
      <w:bookmarkEnd w:id="271"/>
      <w:bookmarkEnd w:id="272"/>
      <w:bookmarkEnd w:id="273"/>
      <w:bookmarkEnd w:id="274"/>
      <w:bookmarkEnd w:id="275"/>
    </w:p>
    <w:p w14:paraId="59188115">
      <w:pPr>
        <w:pStyle w:val="67"/>
        <w:spacing w:before="156" w:after="156"/>
        <w:rPr>
          <w:rFonts w:ascii="Times New Roman"/>
        </w:rPr>
      </w:pPr>
      <w:bookmarkStart w:id="276" w:name="_Toc220079933"/>
      <w:bookmarkStart w:id="277" w:name="_Toc219206770"/>
      <w:bookmarkStart w:id="278" w:name="_Toc169881605"/>
      <w:bookmarkStart w:id="279" w:name="_Toc169876135"/>
      <w:bookmarkStart w:id="280" w:name="_Toc219898340"/>
      <w:bookmarkStart w:id="281" w:name="_Toc219211626"/>
      <w:r>
        <w:rPr>
          <w:rFonts w:ascii="Times New Roman"/>
        </w:rPr>
        <w:t>总则</w:t>
      </w:r>
      <w:bookmarkEnd w:id="276"/>
      <w:bookmarkEnd w:id="277"/>
      <w:bookmarkEnd w:id="278"/>
      <w:bookmarkEnd w:id="279"/>
      <w:bookmarkEnd w:id="280"/>
      <w:bookmarkEnd w:id="281"/>
    </w:p>
    <w:p w14:paraId="44317F75">
      <w:pPr>
        <w:pStyle w:val="58"/>
        <w:ind w:firstLine="420"/>
        <w:rPr>
          <w:rFonts w:ascii="Times New Roman"/>
        </w:rPr>
      </w:pPr>
      <w:r>
        <w:rPr>
          <w:rFonts w:ascii="Times New Roman"/>
        </w:rPr>
        <w:t>组织</w:t>
      </w:r>
      <w:r>
        <w:rPr>
          <w:rFonts w:hint="eastAsia" w:ascii="Times New Roman"/>
        </w:rPr>
        <w:t>宜</w:t>
      </w:r>
      <w:r>
        <w:rPr>
          <w:rFonts w:ascii="Times New Roman"/>
        </w:rPr>
        <w:t>通过以下过程来确定安全控制</w:t>
      </w:r>
      <w:r>
        <w:rPr>
          <w:rFonts w:hint="eastAsia" w:ascii="Times New Roman"/>
        </w:rPr>
        <w:t>措施</w:t>
      </w:r>
      <w:r>
        <w:rPr>
          <w:rFonts w:ascii="Times New Roman"/>
        </w:rPr>
        <w:t>：</w:t>
      </w:r>
    </w:p>
    <w:p w14:paraId="361A43AD">
      <w:pPr>
        <w:pStyle w:val="134"/>
        <w:rPr>
          <w:rFonts w:ascii="Times New Roman"/>
        </w:rPr>
      </w:pPr>
      <w:r>
        <w:rPr>
          <w:rFonts w:ascii="Times New Roman"/>
        </w:rPr>
        <w:t>选择（见5.5.2）</w:t>
      </w:r>
    </w:p>
    <w:p w14:paraId="39DAEE8C">
      <w:pPr>
        <w:pStyle w:val="134"/>
        <w:rPr>
          <w:rFonts w:ascii="Times New Roman"/>
        </w:rPr>
      </w:pPr>
      <w:r>
        <w:rPr>
          <w:rFonts w:ascii="Times New Roman"/>
        </w:rPr>
        <w:t>实施、测试和评价（见5.5.3）；</w:t>
      </w:r>
    </w:p>
    <w:p w14:paraId="2AA11E5A">
      <w:pPr>
        <w:pStyle w:val="134"/>
        <w:rPr>
          <w:rFonts w:ascii="Times New Roman"/>
        </w:rPr>
      </w:pPr>
      <w:r>
        <w:rPr>
          <w:rFonts w:ascii="Times New Roman"/>
        </w:rPr>
        <w:t>监视活动（见5.5.4）；</w:t>
      </w:r>
    </w:p>
    <w:p w14:paraId="56AD5A8D">
      <w:pPr>
        <w:pStyle w:val="134"/>
        <w:rPr>
          <w:rFonts w:ascii="Times New Roman"/>
        </w:rPr>
      </w:pPr>
      <w:r>
        <w:rPr>
          <w:rFonts w:ascii="Times New Roman"/>
        </w:rPr>
        <w:t>有效性确定（见5.5.5）。</w:t>
      </w:r>
    </w:p>
    <w:p w14:paraId="245FE5A2">
      <w:pPr>
        <w:pStyle w:val="58"/>
        <w:ind w:firstLine="420"/>
        <w:rPr>
          <w:rFonts w:ascii="Times New Roman"/>
        </w:rPr>
      </w:pPr>
      <w:r>
        <w:rPr>
          <w:rFonts w:ascii="Times New Roman"/>
        </w:rPr>
        <w:t>安全措施旨在保护资产（包括人员和信息）和活动免受损害或伤害。</w:t>
      </w:r>
    </w:p>
    <w:p w14:paraId="4BF5A589">
      <w:pPr>
        <w:pStyle w:val="67"/>
        <w:spacing w:before="156" w:after="156"/>
        <w:rPr>
          <w:rFonts w:ascii="Times New Roman"/>
        </w:rPr>
      </w:pPr>
      <w:bookmarkStart w:id="282" w:name="_Toc169881606"/>
      <w:bookmarkStart w:id="283" w:name="_Toc220079934"/>
      <w:bookmarkStart w:id="284" w:name="_Toc219211627"/>
      <w:bookmarkStart w:id="285" w:name="_Toc219898341"/>
      <w:bookmarkStart w:id="286" w:name="_Toc219206771"/>
      <w:bookmarkStart w:id="287" w:name="_Toc169876136"/>
      <w:r>
        <w:rPr>
          <w:rFonts w:ascii="Times New Roman"/>
        </w:rPr>
        <w:t>选择</w:t>
      </w:r>
      <w:bookmarkEnd w:id="282"/>
      <w:bookmarkEnd w:id="283"/>
      <w:bookmarkEnd w:id="284"/>
      <w:bookmarkEnd w:id="285"/>
      <w:bookmarkEnd w:id="286"/>
      <w:bookmarkEnd w:id="287"/>
    </w:p>
    <w:p w14:paraId="2CBE17C8">
      <w:pPr>
        <w:pStyle w:val="58"/>
        <w:ind w:firstLine="420"/>
        <w:rPr>
          <w:rFonts w:ascii="Times New Roman"/>
        </w:rPr>
      </w:pPr>
      <w:r>
        <w:rPr>
          <w:rFonts w:ascii="Times New Roman"/>
        </w:rPr>
        <w:t>组织</w:t>
      </w:r>
      <w:r>
        <w:rPr>
          <w:rFonts w:hint="eastAsia" w:ascii="Times New Roman"/>
        </w:rPr>
        <w:t>宜</w:t>
      </w:r>
      <w:r>
        <w:rPr>
          <w:rFonts w:ascii="Times New Roman"/>
        </w:rPr>
        <w:t>选择适当的安全控制</w:t>
      </w:r>
      <w:r>
        <w:rPr>
          <w:rFonts w:hint="eastAsia" w:ascii="Times New Roman"/>
        </w:rPr>
        <w:t>措施</w:t>
      </w:r>
      <w:r>
        <w:rPr>
          <w:rFonts w:ascii="Times New Roman"/>
        </w:rPr>
        <w:t>，以维持或</w:t>
      </w:r>
      <w:r>
        <w:rPr>
          <w:rFonts w:hint="eastAsia" w:ascii="Times New Roman"/>
        </w:rPr>
        <w:t>降低</w:t>
      </w:r>
      <w:r>
        <w:rPr>
          <w:rFonts w:ascii="Times New Roman"/>
        </w:rPr>
        <w:t>组织</w:t>
      </w:r>
      <w:r>
        <w:rPr>
          <w:rFonts w:hint="eastAsia" w:ascii="Times New Roman"/>
        </w:rPr>
        <w:t>面临</w:t>
      </w:r>
      <w:r>
        <w:rPr>
          <w:rFonts w:ascii="Times New Roman"/>
        </w:rPr>
        <w:t>的风险</w:t>
      </w:r>
      <w:r>
        <w:rPr>
          <w:rFonts w:hint="eastAsia" w:ascii="Times New Roman"/>
        </w:rPr>
        <w:t>等级</w:t>
      </w:r>
      <w:r>
        <w:rPr>
          <w:rFonts w:ascii="Times New Roman"/>
        </w:rPr>
        <w:t>。</w:t>
      </w:r>
    </w:p>
    <w:p w14:paraId="7698009E">
      <w:pPr>
        <w:pStyle w:val="67"/>
        <w:spacing w:before="156" w:after="156"/>
        <w:rPr>
          <w:rFonts w:ascii="Times New Roman"/>
        </w:rPr>
      </w:pPr>
      <w:bookmarkStart w:id="288" w:name="_Toc219898342"/>
      <w:bookmarkStart w:id="289" w:name="_Toc219211628"/>
      <w:bookmarkStart w:id="290" w:name="_Toc169876137"/>
      <w:bookmarkStart w:id="291" w:name="_Toc169881607"/>
      <w:bookmarkStart w:id="292" w:name="_Toc220079935"/>
      <w:bookmarkStart w:id="293" w:name="_Toc219206772"/>
      <w:r>
        <w:rPr>
          <w:rFonts w:ascii="Times New Roman"/>
        </w:rPr>
        <w:t>实施、测试和评价</w:t>
      </w:r>
      <w:bookmarkEnd w:id="288"/>
      <w:bookmarkEnd w:id="289"/>
      <w:bookmarkEnd w:id="290"/>
      <w:bookmarkEnd w:id="291"/>
      <w:bookmarkEnd w:id="292"/>
      <w:bookmarkEnd w:id="293"/>
    </w:p>
    <w:p w14:paraId="41144BA8">
      <w:pPr>
        <w:pStyle w:val="58"/>
        <w:ind w:firstLine="420"/>
        <w:rPr>
          <w:rFonts w:ascii="Times New Roman"/>
        </w:rPr>
      </w:pPr>
      <w:r>
        <w:rPr>
          <w:rFonts w:ascii="Times New Roman"/>
        </w:rPr>
        <w:t>组织</w:t>
      </w:r>
      <w:r>
        <w:rPr>
          <w:rFonts w:hint="eastAsia" w:ascii="Times New Roman"/>
        </w:rPr>
        <w:t>宜统一实施</w:t>
      </w:r>
      <w:r>
        <w:rPr>
          <w:rFonts w:ascii="Times New Roman"/>
        </w:rPr>
        <w:t>安全控制</w:t>
      </w:r>
      <w:r>
        <w:rPr>
          <w:rFonts w:hint="eastAsia" w:ascii="Times New Roman"/>
        </w:rPr>
        <w:t>措施</w:t>
      </w:r>
      <w:r>
        <w:rPr>
          <w:rFonts w:ascii="Times New Roman"/>
        </w:rPr>
        <w:t>，并</w:t>
      </w:r>
      <w:r>
        <w:rPr>
          <w:rFonts w:hint="eastAsia" w:ascii="Times New Roman"/>
        </w:rPr>
        <w:t>依据明确的</w:t>
      </w:r>
      <w:r>
        <w:rPr>
          <w:rFonts w:ascii="Times New Roman"/>
        </w:rPr>
        <w:t>绩效指标。</w:t>
      </w:r>
      <w:r>
        <w:rPr>
          <w:rFonts w:hint="eastAsia" w:ascii="Times New Roman"/>
        </w:rPr>
        <w:t>定期评价其</w:t>
      </w:r>
      <w:r>
        <w:rPr>
          <w:rFonts w:ascii="Times New Roman"/>
        </w:rPr>
        <w:t>有效性和效率。绩效指标</w:t>
      </w:r>
      <w:r>
        <w:rPr>
          <w:rFonts w:hint="eastAsia" w:ascii="Times New Roman"/>
        </w:rPr>
        <w:t>宜</w:t>
      </w:r>
      <w:r>
        <w:rPr>
          <w:rFonts w:ascii="Times New Roman"/>
        </w:rPr>
        <w:t>能够确保：</w:t>
      </w:r>
    </w:p>
    <w:p w14:paraId="5654A7E7">
      <w:pPr>
        <w:pStyle w:val="134"/>
        <w:rPr>
          <w:rFonts w:ascii="Times New Roman"/>
        </w:rPr>
      </w:pPr>
      <w:r>
        <w:rPr>
          <w:rFonts w:hint="eastAsia" w:ascii="Times New Roman"/>
        </w:rPr>
        <w:t>明确</w:t>
      </w:r>
      <w:r>
        <w:rPr>
          <w:rFonts w:ascii="Times New Roman"/>
        </w:rPr>
        <w:t>降低风险</w:t>
      </w:r>
      <w:r>
        <w:rPr>
          <w:rFonts w:hint="eastAsia" w:ascii="Times New Roman"/>
        </w:rPr>
        <w:t>的</w:t>
      </w:r>
      <w:r>
        <w:rPr>
          <w:rFonts w:ascii="Times New Roman"/>
        </w:rPr>
        <w:t>目标；</w:t>
      </w:r>
    </w:p>
    <w:p w14:paraId="5D757FB7">
      <w:pPr>
        <w:pStyle w:val="134"/>
        <w:rPr>
          <w:rFonts w:ascii="Times New Roman"/>
        </w:rPr>
      </w:pPr>
      <w:r>
        <w:rPr>
          <w:rFonts w:hint="eastAsia" w:ascii="Times New Roman"/>
        </w:rPr>
        <w:t>可测量的脆弱性减少或威胁能力降低；</w:t>
      </w:r>
    </w:p>
    <w:p w14:paraId="36D0548F">
      <w:pPr>
        <w:pStyle w:val="134"/>
        <w:rPr>
          <w:rFonts w:ascii="Times New Roman"/>
        </w:rPr>
      </w:pPr>
      <w:r>
        <w:rPr>
          <w:rFonts w:ascii="Times New Roman"/>
        </w:rPr>
        <w:t>可行的实施和运营；</w:t>
      </w:r>
    </w:p>
    <w:p w14:paraId="29603C83">
      <w:pPr>
        <w:pStyle w:val="134"/>
        <w:rPr>
          <w:rFonts w:ascii="Times New Roman"/>
        </w:rPr>
      </w:pPr>
      <w:r>
        <w:rPr>
          <w:rFonts w:hint="eastAsia" w:ascii="Times New Roman"/>
        </w:rPr>
        <w:t>针对</w:t>
      </w:r>
      <w:r>
        <w:rPr>
          <w:rFonts w:ascii="Times New Roman"/>
        </w:rPr>
        <w:t>风险环境变化</w:t>
      </w:r>
      <w:r>
        <w:rPr>
          <w:rFonts w:hint="eastAsia" w:ascii="Times New Roman"/>
        </w:rPr>
        <w:t>的持续</w:t>
      </w:r>
      <w:r>
        <w:rPr>
          <w:rFonts w:ascii="Times New Roman"/>
        </w:rPr>
        <w:t>改进；</w:t>
      </w:r>
    </w:p>
    <w:p w14:paraId="4608B5B8">
      <w:pPr>
        <w:pStyle w:val="134"/>
        <w:rPr>
          <w:rFonts w:ascii="Times New Roman"/>
        </w:rPr>
      </w:pPr>
      <w:r>
        <w:rPr>
          <w:rFonts w:hint="eastAsia" w:ascii="Times New Roman"/>
        </w:rPr>
        <w:t>为</w:t>
      </w:r>
      <w:r>
        <w:rPr>
          <w:rFonts w:ascii="Times New Roman"/>
        </w:rPr>
        <w:t>风险降低措施</w:t>
      </w:r>
      <w:r>
        <w:rPr>
          <w:rFonts w:hint="eastAsia" w:ascii="Times New Roman"/>
        </w:rPr>
        <w:t>的应用提供</w:t>
      </w:r>
      <w:r>
        <w:rPr>
          <w:rFonts w:ascii="Times New Roman"/>
        </w:rPr>
        <w:t>决策和指导。</w:t>
      </w:r>
    </w:p>
    <w:p w14:paraId="5214AC34">
      <w:pPr>
        <w:pStyle w:val="58"/>
        <w:ind w:firstLine="420"/>
        <w:rPr>
          <w:rFonts w:ascii="Times New Roman"/>
        </w:rPr>
      </w:pPr>
      <w:r>
        <w:rPr>
          <w:rFonts w:ascii="Times New Roman"/>
        </w:rPr>
        <w:t>组织</w:t>
      </w:r>
      <w:r>
        <w:rPr>
          <w:rFonts w:hint="eastAsia" w:ascii="Times New Roman"/>
        </w:rPr>
        <w:t>宜</w:t>
      </w:r>
      <w:r>
        <w:rPr>
          <w:rFonts w:ascii="Times New Roman"/>
        </w:rPr>
        <w:t>在全面实施控制策略前，</w:t>
      </w:r>
      <w:r>
        <w:rPr>
          <w:rFonts w:hint="eastAsia" w:ascii="Times New Roman"/>
        </w:rPr>
        <w:t>对其有效性进行测试验证</w:t>
      </w:r>
      <w:r>
        <w:rPr>
          <w:rFonts w:ascii="Times New Roman"/>
        </w:rPr>
        <w:t>。实施</w:t>
      </w:r>
      <w:r>
        <w:rPr>
          <w:rFonts w:hint="eastAsia" w:ascii="Times New Roman"/>
        </w:rPr>
        <w:t>过程中</w:t>
      </w:r>
      <w:r>
        <w:rPr>
          <w:rFonts w:ascii="Times New Roman"/>
        </w:rPr>
        <w:t>，组织</w:t>
      </w:r>
      <w:r>
        <w:rPr>
          <w:rFonts w:hint="eastAsia" w:ascii="Times New Roman"/>
        </w:rPr>
        <w:t>宜</w:t>
      </w:r>
      <w:r>
        <w:rPr>
          <w:rFonts w:ascii="Times New Roman"/>
        </w:rPr>
        <w:t>确保每</w:t>
      </w:r>
      <w:r>
        <w:rPr>
          <w:rFonts w:hint="eastAsia" w:ascii="Times New Roman"/>
        </w:rPr>
        <w:t>项</w:t>
      </w:r>
      <w:r>
        <w:rPr>
          <w:rFonts w:ascii="Times New Roman"/>
        </w:rPr>
        <w:t>已确定的风险</w:t>
      </w:r>
      <w:r>
        <w:rPr>
          <w:rFonts w:hint="eastAsia" w:ascii="Times New Roman"/>
        </w:rPr>
        <w:t>均能</w:t>
      </w:r>
      <w:r>
        <w:rPr>
          <w:rFonts w:ascii="Times New Roman"/>
        </w:rPr>
        <w:t>以可行</w:t>
      </w:r>
      <w:r>
        <w:rPr>
          <w:rFonts w:hint="eastAsia" w:ascii="Times New Roman"/>
        </w:rPr>
        <w:t>且符合</w:t>
      </w:r>
      <w:r>
        <w:rPr>
          <w:rFonts w:ascii="Times New Roman"/>
        </w:rPr>
        <w:t>预期的方式</w:t>
      </w:r>
      <w:r>
        <w:rPr>
          <w:rFonts w:hint="eastAsia" w:ascii="Times New Roman"/>
        </w:rPr>
        <w:t>得到</w:t>
      </w:r>
      <w:r>
        <w:rPr>
          <w:rFonts w:ascii="Times New Roman"/>
        </w:rPr>
        <w:t>适当</w:t>
      </w:r>
      <w:r>
        <w:rPr>
          <w:rFonts w:hint="eastAsia" w:ascii="Times New Roman"/>
        </w:rPr>
        <w:t>缓解</w:t>
      </w:r>
      <w:r>
        <w:rPr>
          <w:rFonts w:ascii="Times New Roman"/>
        </w:rPr>
        <w:t>。</w:t>
      </w:r>
    </w:p>
    <w:p w14:paraId="7480C226">
      <w:pPr>
        <w:pStyle w:val="67"/>
        <w:spacing w:before="156" w:after="156"/>
        <w:rPr>
          <w:rFonts w:ascii="Times New Roman"/>
        </w:rPr>
      </w:pPr>
      <w:bookmarkStart w:id="294" w:name="_Toc219211629"/>
      <w:bookmarkStart w:id="295" w:name="_Toc219898343"/>
      <w:bookmarkStart w:id="296" w:name="_Toc220079936"/>
      <w:bookmarkStart w:id="297" w:name="_Toc219206773"/>
      <w:bookmarkStart w:id="298" w:name="_Toc169881608"/>
      <w:bookmarkStart w:id="299" w:name="_Toc169876138"/>
      <w:r>
        <w:rPr>
          <w:rFonts w:ascii="Times New Roman"/>
        </w:rPr>
        <w:t>监视活动</w:t>
      </w:r>
      <w:bookmarkEnd w:id="294"/>
      <w:bookmarkEnd w:id="295"/>
      <w:bookmarkEnd w:id="296"/>
      <w:bookmarkEnd w:id="297"/>
      <w:bookmarkEnd w:id="298"/>
      <w:bookmarkEnd w:id="299"/>
    </w:p>
    <w:p w14:paraId="00C14316">
      <w:pPr>
        <w:pStyle w:val="58"/>
        <w:ind w:firstLine="420"/>
        <w:rPr>
          <w:rFonts w:ascii="Times New Roman"/>
        </w:rPr>
      </w:pPr>
      <w:r>
        <w:rPr>
          <w:rFonts w:ascii="Times New Roman"/>
        </w:rPr>
        <w:t>组织</w:t>
      </w:r>
      <w:r>
        <w:rPr>
          <w:rFonts w:hint="eastAsia" w:ascii="Times New Roman"/>
        </w:rPr>
        <w:t>宜</w:t>
      </w:r>
      <w:r>
        <w:rPr>
          <w:rFonts w:ascii="Times New Roman"/>
        </w:rPr>
        <w:t>确定安全控制</w:t>
      </w:r>
      <w:r>
        <w:rPr>
          <w:rFonts w:hint="eastAsia" w:ascii="Times New Roman"/>
        </w:rPr>
        <w:t>措施的监视方式</w:t>
      </w:r>
      <w:r>
        <w:rPr>
          <w:rFonts w:ascii="Times New Roman"/>
        </w:rPr>
        <w:t>，以确保其持续实施和有效性。</w:t>
      </w:r>
      <w:r>
        <w:rPr>
          <w:rFonts w:hint="eastAsia" w:ascii="Times New Roman"/>
        </w:rPr>
        <w:t>并向</w:t>
      </w:r>
      <w:r>
        <w:rPr>
          <w:rFonts w:ascii="Times New Roman"/>
        </w:rPr>
        <w:t>利益相关方适当地传达</w:t>
      </w:r>
      <w:r>
        <w:rPr>
          <w:rFonts w:hint="eastAsia" w:ascii="Times New Roman"/>
        </w:rPr>
        <w:t>监视</w:t>
      </w:r>
      <w:r>
        <w:rPr>
          <w:rFonts w:ascii="Times New Roman"/>
        </w:rPr>
        <w:t>结果。</w:t>
      </w:r>
    </w:p>
    <w:p w14:paraId="4E58CB42">
      <w:pPr>
        <w:pStyle w:val="58"/>
        <w:ind w:firstLine="420"/>
        <w:rPr>
          <w:rFonts w:ascii="Times New Roman"/>
        </w:rPr>
      </w:pPr>
      <w:r>
        <w:rPr>
          <w:rFonts w:ascii="Times New Roman"/>
        </w:rPr>
        <w:t>对安全控制</w:t>
      </w:r>
      <w:r>
        <w:rPr>
          <w:rFonts w:hint="eastAsia" w:ascii="Times New Roman"/>
        </w:rPr>
        <w:t>措施</w:t>
      </w:r>
      <w:r>
        <w:rPr>
          <w:rFonts w:ascii="Times New Roman"/>
        </w:rPr>
        <w:t>的</w:t>
      </w:r>
      <w:r>
        <w:rPr>
          <w:rFonts w:hint="eastAsia" w:ascii="Times New Roman"/>
        </w:rPr>
        <w:t>监视宜</w:t>
      </w:r>
      <w:r>
        <w:rPr>
          <w:rFonts w:ascii="Times New Roman"/>
        </w:rPr>
        <w:t>包括：</w:t>
      </w:r>
    </w:p>
    <w:p w14:paraId="60866A45">
      <w:pPr>
        <w:pStyle w:val="134"/>
        <w:rPr>
          <w:rFonts w:ascii="Times New Roman"/>
        </w:rPr>
      </w:pPr>
      <w:r>
        <w:rPr>
          <w:rFonts w:ascii="Times New Roman"/>
        </w:rPr>
        <w:t>安全控制</w:t>
      </w:r>
      <w:r>
        <w:rPr>
          <w:rFonts w:hint="eastAsia" w:ascii="Times New Roman"/>
        </w:rPr>
        <w:t>措施</w:t>
      </w:r>
      <w:r>
        <w:rPr>
          <w:rFonts w:ascii="Times New Roman"/>
        </w:rPr>
        <w:t>所收集的数据和测量</w:t>
      </w:r>
      <w:r>
        <w:rPr>
          <w:rFonts w:hint="eastAsia" w:ascii="Times New Roman"/>
        </w:rPr>
        <w:t>结果的归档</w:t>
      </w:r>
      <w:r>
        <w:rPr>
          <w:rFonts w:ascii="Times New Roman"/>
        </w:rPr>
        <w:t>；</w:t>
      </w:r>
    </w:p>
    <w:p w14:paraId="3150AD4E">
      <w:pPr>
        <w:pStyle w:val="134"/>
        <w:rPr>
          <w:rFonts w:ascii="Times New Roman"/>
        </w:rPr>
      </w:pPr>
      <w:r>
        <w:rPr>
          <w:rFonts w:ascii="Times New Roman"/>
        </w:rPr>
        <w:t>安全数据和测量</w:t>
      </w:r>
      <w:r>
        <w:rPr>
          <w:rFonts w:hint="eastAsia" w:ascii="Times New Roman"/>
        </w:rPr>
        <w:t>结果的</w:t>
      </w:r>
      <w:r>
        <w:rPr>
          <w:rFonts w:ascii="Times New Roman"/>
        </w:rPr>
        <w:t>信息分析过程；</w:t>
      </w:r>
    </w:p>
    <w:p w14:paraId="326175F5">
      <w:pPr>
        <w:pStyle w:val="134"/>
        <w:rPr>
          <w:rFonts w:ascii="Times New Roman"/>
        </w:rPr>
      </w:pPr>
      <w:r>
        <w:rPr>
          <w:rFonts w:hint="eastAsia" w:ascii="Times New Roman"/>
        </w:rPr>
        <w:t>采用</w:t>
      </w:r>
      <w:r>
        <w:rPr>
          <w:rFonts w:ascii="Times New Roman"/>
        </w:rPr>
        <w:t>经</w:t>
      </w:r>
      <w:r>
        <w:rPr>
          <w:rFonts w:hint="eastAsia" w:ascii="Times New Roman"/>
        </w:rPr>
        <w:t>分析的安全控制措施信息开展的基于知识的决策</w:t>
      </w:r>
      <w:r>
        <w:rPr>
          <w:rFonts w:ascii="Times New Roman"/>
        </w:rPr>
        <w:t>过程</w:t>
      </w:r>
      <w:r>
        <w:rPr>
          <w:rFonts w:hint="eastAsia" w:ascii="Times New Roman"/>
        </w:rPr>
        <w:t>；</w:t>
      </w:r>
    </w:p>
    <w:p w14:paraId="29380E02">
      <w:pPr>
        <w:pStyle w:val="134"/>
        <w:rPr>
          <w:rFonts w:ascii="Times New Roman"/>
        </w:rPr>
      </w:pPr>
      <w:r>
        <w:rPr>
          <w:rFonts w:ascii="Times New Roman"/>
        </w:rPr>
        <w:t>实施相关决策的适当</w:t>
      </w:r>
      <w:r>
        <w:rPr>
          <w:rFonts w:hint="eastAsia" w:ascii="Times New Roman"/>
        </w:rPr>
        <w:t>措施</w:t>
      </w:r>
      <w:r>
        <w:rPr>
          <w:rFonts w:ascii="Times New Roman"/>
        </w:rPr>
        <w:t>过程。</w:t>
      </w:r>
    </w:p>
    <w:p w14:paraId="006BF205">
      <w:pPr>
        <w:pStyle w:val="67"/>
        <w:spacing w:before="156" w:after="156"/>
        <w:rPr>
          <w:rFonts w:ascii="Times New Roman"/>
        </w:rPr>
      </w:pPr>
      <w:bookmarkStart w:id="300" w:name="_Toc169876139"/>
      <w:bookmarkStart w:id="301" w:name="_Toc219206774"/>
      <w:bookmarkStart w:id="302" w:name="_Toc169881609"/>
      <w:bookmarkStart w:id="303" w:name="_Toc219211630"/>
      <w:bookmarkStart w:id="304" w:name="_Toc219898344"/>
      <w:bookmarkStart w:id="305" w:name="_Toc220079937"/>
      <w:r>
        <w:rPr>
          <w:rFonts w:ascii="Times New Roman"/>
        </w:rPr>
        <w:t>有效性</w:t>
      </w:r>
      <w:bookmarkEnd w:id="300"/>
      <w:bookmarkEnd w:id="301"/>
      <w:bookmarkEnd w:id="302"/>
      <w:bookmarkEnd w:id="303"/>
      <w:r>
        <w:rPr>
          <w:rFonts w:ascii="Times New Roman"/>
        </w:rPr>
        <w:t>确定</w:t>
      </w:r>
      <w:bookmarkEnd w:id="304"/>
      <w:bookmarkEnd w:id="305"/>
    </w:p>
    <w:p w14:paraId="57738205">
      <w:pPr>
        <w:pStyle w:val="58"/>
        <w:ind w:firstLine="420"/>
        <w:rPr>
          <w:rFonts w:ascii="Times New Roman"/>
        </w:rPr>
      </w:pPr>
      <w:r>
        <w:rPr>
          <w:rFonts w:ascii="Times New Roman"/>
        </w:rPr>
        <w:t>组织</w:t>
      </w:r>
      <w:r>
        <w:rPr>
          <w:rFonts w:hint="eastAsia" w:ascii="Times New Roman"/>
        </w:rPr>
        <w:t>宜</w:t>
      </w:r>
      <w:r>
        <w:rPr>
          <w:rFonts w:ascii="Times New Roman"/>
        </w:rPr>
        <w:t>系统评审安全控制</w:t>
      </w:r>
      <w:r>
        <w:rPr>
          <w:rFonts w:hint="eastAsia" w:ascii="Times New Roman"/>
        </w:rPr>
        <w:t>措施</w:t>
      </w:r>
      <w:r>
        <w:rPr>
          <w:rFonts w:ascii="Times New Roman"/>
        </w:rPr>
        <w:t>的有效性，以确保</w:t>
      </w:r>
      <w:r>
        <w:rPr>
          <w:rFonts w:hint="eastAsia" w:ascii="Times New Roman"/>
        </w:rPr>
        <w:t>其持续适用</w:t>
      </w:r>
      <w:r>
        <w:rPr>
          <w:rFonts w:ascii="Times New Roman"/>
        </w:rPr>
        <w:t>并按预期运行。</w:t>
      </w:r>
      <w:r>
        <w:rPr>
          <w:rFonts w:hint="eastAsia" w:ascii="Times New Roman"/>
        </w:rPr>
        <w:t>还宜结合</w:t>
      </w:r>
      <w:r>
        <w:rPr>
          <w:rFonts w:ascii="Times New Roman"/>
        </w:rPr>
        <w:t>（根据资产保护</w:t>
      </w:r>
      <w:r>
        <w:rPr>
          <w:rFonts w:hint="eastAsia" w:ascii="Times New Roman"/>
        </w:rPr>
        <w:t>等级</w:t>
      </w:r>
      <w:r>
        <w:rPr>
          <w:rFonts w:ascii="Times New Roman"/>
        </w:rPr>
        <w:t>）</w:t>
      </w:r>
      <w:r>
        <w:rPr>
          <w:rFonts w:hint="eastAsia" w:ascii="Times New Roman"/>
        </w:rPr>
        <w:t>对</w:t>
      </w:r>
      <w:r>
        <w:rPr>
          <w:rFonts w:ascii="Times New Roman"/>
        </w:rPr>
        <w:t>涉及</w:t>
      </w:r>
      <w:r>
        <w:rPr>
          <w:rFonts w:hint="eastAsia" w:ascii="Times New Roman"/>
        </w:rPr>
        <w:t>安全控制措施的</w:t>
      </w:r>
      <w:r>
        <w:rPr>
          <w:rFonts w:ascii="Times New Roman"/>
        </w:rPr>
        <w:t>维护、生命周期以及</w:t>
      </w:r>
      <w:r>
        <w:rPr>
          <w:rFonts w:hint="eastAsia" w:ascii="Times New Roman"/>
        </w:rPr>
        <w:t>识别获取新要素或控制措施的需求进行评审。</w:t>
      </w:r>
      <w:r>
        <w:rPr>
          <w:rFonts w:ascii="Times New Roman"/>
        </w:rPr>
        <w:t>评审可按以下方式进行：</w:t>
      </w:r>
    </w:p>
    <w:p w14:paraId="3FBEB496">
      <w:pPr>
        <w:pStyle w:val="134"/>
        <w:rPr>
          <w:rFonts w:ascii="Times New Roman"/>
        </w:rPr>
      </w:pPr>
      <w:r>
        <w:rPr>
          <w:rFonts w:ascii="Times New Roman"/>
        </w:rPr>
        <w:t>随机评审；</w:t>
      </w:r>
    </w:p>
    <w:p w14:paraId="2EE94456">
      <w:pPr>
        <w:pStyle w:val="134"/>
        <w:rPr>
          <w:rFonts w:ascii="Times New Roman"/>
        </w:rPr>
      </w:pPr>
      <w:r>
        <w:rPr>
          <w:rFonts w:ascii="Times New Roman"/>
        </w:rPr>
        <w:t>定期评审；</w:t>
      </w:r>
    </w:p>
    <w:p w14:paraId="3DD34FCF">
      <w:pPr>
        <w:pStyle w:val="134"/>
        <w:rPr>
          <w:rFonts w:ascii="Times New Roman"/>
        </w:rPr>
      </w:pPr>
      <w:r>
        <w:rPr>
          <w:rFonts w:ascii="Times New Roman"/>
        </w:rPr>
        <w:t>原因评审。</w:t>
      </w:r>
    </w:p>
    <w:p w14:paraId="7271B0DA">
      <w:pPr>
        <w:pStyle w:val="58"/>
        <w:ind w:firstLine="0" w:firstLineChars="0"/>
        <w:rPr>
          <w:rFonts w:ascii="Times New Roman"/>
        </w:rPr>
      </w:pPr>
    </w:p>
    <w:p w14:paraId="323EE04E">
      <w:pPr>
        <w:pStyle w:val="58"/>
        <w:ind w:firstLine="0" w:firstLineChars="0"/>
        <w:rPr>
          <w:rFonts w:ascii="Times New Roman"/>
        </w:rPr>
      </w:pPr>
    </w:p>
    <w:bookmarkEnd w:id="28"/>
    <w:p w14:paraId="3A87481A">
      <w:pPr>
        <w:pStyle w:val="65"/>
        <w:spacing w:before="124" w:after="156"/>
        <w:rPr>
          <w:rFonts w:ascii="Times New Roman" w:hAnsi="Times New Roman"/>
          <w:spacing w:val="105"/>
        </w:rPr>
      </w:pPr>
      <w:bookmarkStart w:id="306" w:name="_Toc169516097"/>
      <w:bookmarkStart w:id="307" w:name="BookMark6"/>
    </w:p>
    <w:p w14:paraId="6D2E0108">
      <w:pPr>
        <w:spacing w:before="124" w:after="156"/>
        <w:rPr>
          <w:rFonts w:ascii="Times New Roman" w:hAnsi="Times New Roman"/>
          <w:spacing w:val="105"/>
        </w:rPr>
      </w:pPr>
      <w:r>
        <w:br w:type="page"/>
      </w:r>
    </w:p>
    <w:p w14:paraId="44F21899">
      <w:pPr>
        <w:pStyle w:val="65"/>
        <w:spacing w:before="124" w:after="156"/>
        <w:rPr>
          <w:rFonts w:ascii="Times New Roman" w:hAnsi="Times New Roman"/>
        </w:rPr>
      </w:pPr>
      <w:bookmarkStart w:id="308" w:name="_Toc219898345"/>
      <w:bookmarkStart w:id="309" w:name="_Toc219211631"/>
      <w:bookmarkStart w:id="310" w:name="_Toc169881610"/>
      <w:bookmarkStart w:id="311" w:name="_Toc220079938"/>
      <w:bookmarkStart w:id="312" w:name="_Toc169876140"/>
      <w:bookmarkStart w:id="313" w:name="_Toc169876097"/>
      <w:bookmarkStart w:id="314" w:name="_Toc219206775"/>
      <w:r>
        <w:rPr>
          <w:rFonts w:ascii="Times New Roman" w:hAnsi="Times New Roman"/>
          <w:spacing w:val="105"/>
        </w:rPr>
        <w:t>参考文</w:t>
      </w:r>
      <w:r>
        <w:rPr>
          <w:rFonts w:ascii="Times New Roman" w:hAnsi="Times New Roman"/>
        </w:rPr>
        <w:t>献</w:t>
      </w:r>
      <w:bookmarkEnd w:id="306"/>
      <w:bookmarkEnd w:id="308"/>
      <w:bookmarkEnd w:id="309"/>
      <w:bookmarkEnd w:id="310"/>
      <w:bookmarkEnd w:id="311"/>
      <w:bookmarkEnd w:id="312"/>
      <w:bookmarkEnd w:id="313"/>
      <w:bookmarkEnd w:id="314"/>
    </w:p>
    <w:p w14:paraId="3863E66A">
      <w:pPr>
        <w:pStyle w:val="58"/>
        <w:numPr>
          <w:ilvl w:val="0"/>
          <w:numId w:val="32"/>
        </w:numPr>
        <w:ind w:firstLine="428"/>
        <w:rPr>
          <w:rFonts w:ascii="Times New Roman"/>
          <w:spacing w:val="2"/>
        </w:rPr>
      </w:pPr>
      <w:r>
        <w:rPr>
          <w:rFonts w:ascii="Times New Roman"/>
          <w:spacing w:val="2"/>
        </w:rPr>
        <w:t>GB/T 42187-2022/IS0</w:t>
      </w:r>
      <w:r>
        <w:rPr>
          <w:rFonts w:hint="eastAsia" w:ascii="Times New Roman"/>
          <w:spacing w:val="2"/>
        </w:rPr>
        <w:t xml:space="preserve"> </w:t>
      </w:r>
      <w:r>
        <w:rPr>
          <w:rFonts w:ascii="Times New Roman"/>
          <w:spacing w:val="2"/>
        </w:rPr>
        <w:t>22316:2017 安全与韧性 组织韧性 原则和属性</w:t>
      </w:r>
    </w:p>
    <w:p w14:paraId="5E77DC3F">
      <w:pPr>
        <w:pStyle w:val="58"/>
        <w:numPr>
          <w:ilvl w:val="0"/>
          <w:numId w:val="32"/>
        </w:numPr>
        <w:ind w:firstLine="428"/>
        <w:rPr>
          <w:rFonts w:ascii="Times New Roman"/>
          <w:spacing w:val="2"/>
        </w:rPr>
      </w:pPr>
      <w:r>
        <w:rPr>
          <w:rFonts w:ascii="Times New Roman"/>
          <w:spacing w:val="2"/>
        </w:rPr>
        <w:t>ISO 28000：2022，Security and resilience—Security management systems—Requirements</w:t>
      </w:r>
    </w:p>
    <w:bookmarkEnd w:id="307"/>
    <w:p w14:paraId="0AAF295E">
      <w:pPr>
        <w:pStyle w:val="58"/>
        <w:ind w:firstLine="0" w:firstLineChars="0"/>
        <w:jc w:val="center"/>
        <w:rPr>
          <w:rFonts w:ascii="Times New Roman"/>
        </w:rPr>
      </w:pPr>
      <w:bookmarkStart w:id="315" w:name="BookMark8"/>
    </w:p>
    <w:p w14:paraId="3F6C1FB2">
      <w:pPr>
        <w:pStyle w:val="58"/>
        <w:ind w:firstLine="0" w:firstLineChars="0"/>
        <w:jc w:val="center"/>
        <w:rPr>
          <w:rFonts w:ascii="Times New Roman"/>
        </w:rPr>
      </w:pPr>
      <w:r>
        <w:rPr>
          <w:rFonts w:ascii="Times New Roman"/>
        </w:rPr>
        <w:drawing>
          <wp:inline distT="0" distB="0" distL="0" distR="0">
            <wp:extent cx="1485900" cy="317500"/>
            <wp:effectExtent l="0" t="0" r="0" b="6350"/>
            <wp:docPr id="1" name="图片 1"/>
            <wp:cNvGraphicFramePr/>
            <a:graphic xmlns:a="http://schemas.openxmlformats.org/drawingml/2006/main">
              <a:graphicData uri="http://schemas.openxmlformats.org/drawingml/2006/picture">
                <pic:pic xmlns:pic="http://schemas.openxmlformats.org/drawingml/2006/picture">
                  <pic:nvPicPr>
                    <pic:cNvPr id="1" name="图片 1"/>
                    <pic:cNvPicPr/>
                  </pic:nvPicPr>
                  <pic:blipFill>
                    <a:blip r:embed="rId16">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315"/>
    </w:p>
    <w:sectPr>
      <w:pgSz w:w="11906" w:h="16838"/>
      <w:pgMar w:top="2410" w:right="1134" w:bottom="1134" w:left="1134" w:header="1418" w:footer="1134" w:gutter="284"/>
      <w:cols w:space="425" w:num="1"/>
      <w:formProt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3C0041" w:csb1="A008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8CFDBE">
    <w:pPr>
      <w:pStyle w:val="1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2EE36E">
    <w:pPr>
      <w:pStyle w:val="18"/>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ECEE34">
    <w:pPr>
      <w:pStyle w:val="18"/>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565D64">
    <w:pPr>
      <w:pStyle w:val="54"/>
    </w:pPr>
    <w:r>
      <w:fldChar w:fldCharType="begin"/>
    </w:r>
    <w:r>
      <w:instrText xml:space="preserve">PAGE   \* MERGEFORMAT</w:instrText>
    </w:r>
    <w:r>
      <w:fldChar w:fldCharType="separate"/>
    </w:r>
    <w:r>
      <w:rPr>
        <w:lang w:val="zh-CN"/>
      </w:rPr>
      <w:t>13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18DA41">
    <w:pPr>
      <w:pStyle w:val="19"/>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1FD5B2">
    <w:pPr>
      <w:pStyle w:val="1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887046">
    <w:pPr>
      <w:pStyle w:val="19"/>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193643">
    <w:pPr>
      <w:pStyle w:val="63"/>
      <w:spacing w:after="0"/>
    </w:pPr>
    <w:r>
      <w:fldChar w:fldCharType="begin"/>
    </w:r>
    <w:r>
      <w:instrText xml:space="preserve"> STYLEREF  标准文件_文件编号  \* MERGEFORMAT </w:instrText>
    </w:r>
    <w:r>
      <w:fldChar w:fldCharType="separate"/>
    </w:r>
    <w:r>
      <w:t>GB/T XXXXX—XXXX/ISO 22342：2023</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474A05B"/>
    <w:multiLevelType w:val="singleLevel"/>
    <w:tmpl w:val="B474A05B"/>
    <w:lvl w:ilvl="0" w:tentative="0">
      <w:start w:val="1"/>
      <w:numFmt w:val="decimal"/>
      <w:lvlText w:val="[%1]"/>
      <w:lvlJc w:val="left"/>
      <w:pPr>
        <w:tabs>
          <w:tab w:val="left" w:pos="312"/>
        </w:tabs>
      </w:pPr>
    </w:lvl>
  </w:abstractNum>
  <w:abstractNum w:abstractNumId="1">
    <w:nsid w:val="02837933"/>
    <w:multiLevelType w:val="multilevel"/>
    <w:tmpl w:val="02837933"/>
    <w:lvl w:ilvl="0" w:tentative="0">
      <w:start w:val="1"/>
      <w:numFmt w:val="decimal"/>
      <w:pStyle w:val="66"/>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2">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1"/>
      <w:suff w:val="nothing"/>
      <w:lvlText w:val="%1%2.%3　"/>
      <w:lvlJc w:val="left"/>
      <w:pPr>
        <w:ind w:left="0" w:firstLine="0"/>
      </w:pPr>
    </w:lvl>
    <w:lvl w:ilvl="3" w:tentative="0">
      <w:start w:val="1"/>
      <w:numFmt w:val="decimal"/>
      <w:pStyle w:val="120"/>
      <w:suff w:val="nothing"/>
      <w:lvlText w:val="%1%2.%3.%4　"/>
      <w:lvlJc w:val="left"/>
      <w:pPr>
        <w:ind w:left="0" w:firstLine="0"/>
      </w:pPr>
    </w:lvl>
    <w:lvl w:ilvl="4" w:tentative="0">
      <w:start w:val="1"/>
      <w:numFmt w:val="decimal"/>
      <w:pStyle w:val="155"/>
      <w:suff w:val="nothing"/>
      <w:lvlText w:val="%1%2.%3.%4.%5　"/>
      <w:lvlJc w:val="left"/>
      <w:pPr>
        <w:ind w:left="0" w:firstLine="0"/>
      </w:pPr>
    </w:lvl>
    <w:lvl w:ilvl="5" w:tentative="0">
      <w:start w:val="1"/>
      <w:numFmt w:val="decimal"/>
      <w:pStyle w:val="157"/>
      <w:suff w:val="nothing"/>
      <w:lvlText w:val="%1%2.%3.%4.%5.%6　"/>
      <w:lvlJc w:val="left"/>
      <w:pPr>
        <w:ind w:left="0" w:firstLine="0"/>
      </w:pPr>
    </w:lvl>
    <w:lvl w:ilvl="6" w:tentative="0">
      <w:start w:val="1"/>
      <w:numFmt w:val="decimal"/>
      <w:pStyle w:val="160"/>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3">
    <w:nsid w:val="079102AD"/>
    <w:multiLevelType w:val="multilevel"/>
    <w:tmpl w:val="079102AD"/>
    <w:lvl w:ilvl="0" w:tentative="0">
      <w:start w:val="1"/>
      <w:numFmt w:val="decimal"/>
      <w:pStyle w:val="182"/>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4">
    <w:nsid w:val="07ED3FEA"/>
    <w:multiLevelType w:val="multilevel"/>
    <w:tmpl w:val="07ED3FEA"/>
    <w:lvl w:ilvl="0" w:tentative="0">
      <w:start w:val="1"/>
      <w:numFmt w:val="none"/>
      <w:pStyle w:val="91"/>
      <w:lvlText w:val="%1"/>
      <w:lvlJc w:val="left"/>
      <w:pPr>
        <w:ind w:left="425" w:hanging="425"/>
      </w:pPr>
      <w:rPr>
        <w:rFonts w:hint="eastAsia"/>
      </w:rPr>
    </w:lvl>
    <w:lvl w:ilvl="1" w:tentative="0">
      <w:start w:val="1"/>
      <w:numFmt w:val="decimal"/>
      <w:pStyle w:val="202"/>
      <w:suff w:val="nothing"/>
      <w:lvlText w:val="%10.%2 "/>
      <w:lvlJc w:val="left"/>
      <w:pPr>
        <w:ind w:left="0" w:firstLine="0"/>
      </w:pPr>
      <w:rPr>
        <w:rFonts w:hint="eastAsia" w:ascii="黑体" w:eastAsia="黑体" w:hAnsiTheme="minorHAnsi"/>
        <w:b w:val="0"/>
        <w:i w:val="0"/>
        <w:sz w:val="21"/>
      </w:rPr>
    </w:lvl>
    <w:lvl w:ilvl="2" w:tentative="0">
      <w:start w:val="1"/>
      <w:numFmt w:val="decimal"/>
      <w:pStyle w:val="203"/>
      <w:suff w:val="nothing"/>
      <w:lvlText w:val="%10.%2.%3 "/>
      <w:lvlJc w:val="left"/>
      <w:pPr>
        <w:ind w:left="0" w:firstLine="0"/>
      </w:pPr>
      <w:rPr>
        <w:rFonts w:hint="eastAsia" w:ascii="黑体" w:eastAsia="黑体" w:hAnsiTheme="minorHAnsi"/>
        <w:b w:val="0"/>
        <w:i w:val="0"/>
        <w:sz w:val="21"/>
      </w:rPr>
    </w:lvl>
    <w:lvl w:ilvl="3" w:tentative="0">
      <w:start w:val="1"/>
      <w:numFmt w:val="decimal"/>
      <w:pStyle w:val="204"/>
      <w:suff w:val="nothing"/>
      <w:lvlText w:val="%10.%2.%3.%4 "/>
      <w:lvlJc w:val="left"/>
      <w:pPr>
        <w:ind w:left="0" w:firstLine="0"/>
      </w:pPr>
      <w:rPr>
        <w:rFonts w:hint="eastAsia" w:ascii="黑体" w:eastAsia="黑体" w:hAnsiTheme="minorHAnsi"/>
        <w:b w:val="0"/>
        <w:i w:val="0"/>
        <w:sz w:val="21"/>
      </w:rPr>
    </w:lvl>
    <w:lvl w:ilvl="4" w:tentative="0">
      <w:start w:val="1"/>
      <w:numFmt w:val="decimal"/>
      <w:pStyle w:val="205"/>
      <w:suff w:val="nothing"/>
      <w:lvlText w:val="%10.%2.%3.%4.%5 "/>
      <w:lvlJc w:val="left"/>
      <w:pPr>
        <w:ind w:left="0" w:firstLine="0"/>
      </w:pPr>
      <w:rPr>
        <w:rFonts w:hint="eastAsia" w:ascii="黑体" w:eastAsia="黑体" w:hAnsiTheme="minorHAnsi"/>
        <w:b w:val="0"/>
        <w:i w:val="0"/>
        <w:sz w:val="21"/>
      </w:rPr>
    </w:lvl>
    <w:lvl w:ilvl="5" w:tentative="0">
      <w:start w:val="1"/>
      <w:numFmt w:val="decimal"/>
      <w:pStyle w:val="206"/>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5">
    <w:nsid w:val="0AE367E9"/>
    <w:multiLevelType w:val="multilevel"/>
    <w:tmpl w:val="0AE367E9"/>
    <w:lvl w:ilvl="0" w:tentative="0">
      <w:start w:val="1"/>
      <w:numFmt w:val="none"/>
      <w:pStyle w:val="183"/>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6">
    <w:nsid w:val="0BDC1670"/>
    <w:multiLevelType w:val="multilevel"/>
    <w:tmpl w:val="0BDC1670"/>
    <w:lvl w:ilvl="0" w:tentative="0">
      <w:start w:val="1"/>
      <w:numFmt w:val="decimal"/>
      <w:pStyle w:val="69"/>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0D051F45"/>
    <w:multiLevelType w:val="multilevel"/>
    <w:tmpl w:val="0D051F45"/>
    <w:lvl w:ilvl="0" w:tentative="0">
      <w:start w:val="1"/>
      <w:numFmt w:val="lowerRoman"/>
      <w:pStyle w:val="171"/>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8">
    <w:nsid w:val="1AD20F90"/>
    <w:multiLevelType w:val="multilevel"/>
    <w:tmpl w:val="1AD20F90"/>
    <w:lvl w:ilvl="0" w:tentative="0">
      <w:start w:val="1"/>
      <w:numFmt w:val="none"/>
      <w:pStyle w:val="112"/>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1AF15012"/>
    <w:multiLevelType w:val="multilevel"/>
    <w:tmpl w:val="1AF15012"/>
    <w:lvl w:ilvl="0" w:tentative="0">
      <w:start w:val="1"/>
      <w:numFmt w:val="upperLetter"/>
      <w:pStyle w:val="87"/>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0">
    <w:nsid w:val="1EAA1992"/>
    <w:multiLevelType w:val="multilevel"/>
    <w:tmpl w:val="1EAA1992"/>
    <w:lvl w:ilvl="0" w:tentative="0">
      <w:start w:val="1"/>
      <w:numFmt w:val="none"/>
      <w:pStyle w:val="94"/>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1">
    <w:nsid w:val="2C5917C3"/>
    <w:multiLevelType w:val="multilevel"/>
    <w:tmpl w:val="2C5917C3"/>
    <w:lvl w:ilvl="0" w:tentative="0">
      <w:start w:val="1"/>
      <w:numFmt w:val="none"/>
      <w:pStyle w:val="134"/>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9"/>
      <w:lvlText w:val=""/>
      <w:lvlJc w:val="left"/>
      <w:pPr>
        <w:ind w:left="851" w:hanging="431"/>
      </w:pPr>
      <w:rPr>
        <w:rFonts w:hint="default" w:ascii="Symbol" w:hAnsi="Symbol"/>
        <w:sz w:val="21"/>
      </w:rPr>
    </w:lvl>
    <w:lvl w:ilvl="2" w:tentative="0">
      <w:start w:val="1"/>
      <w:numFmt w:val="bullet"/>
      <w:pStyle w:val="174"/>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2">
    <w:nsid w:val="32F04FB2"/>
    <w:multiLevelType w:val="multilevel"/>
    <w:tmpl w:val="32F04FB2"/>
    <w:lvl w:ilvl="0" w:tentative="0">
      <w:start w:val="1"/>
      <w:numFmt w:val="lowerLetter"/>
      <w:pStyle w:val="103"/>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3">
    <w:nsid w:val="44C50F90"/>
    <w:multiLevelType w:val="multilevel"/>
    <w:tmpl w:val="44C50F90"/>
    <w:lvl w:ilvl="0" w:tentative="0">
      <w:start w:val="1"/>
      <w:numFmt w:val="lowerLetter"/>
      <w:pStyle w:val="176"/>
      <w:lvlText w:val="%1)"/>
      <w:lvlJc w:val="left"/>
      <w:pPr>
        <w:tabs>
          <w:tab w:val="left" w:pos="851"/>
        </w:tabs>
        <w:ind w:left="851" w:hanging="426"/>
      </w:pPr>
      <w:rPr>
        <w:rFonts w:hint="eastAsia" w:ascii="宋体" w:hAnsi="Times New Roman" w:eastAsia="宋体"/>
        <w:sz w:val="21"/>
      </w:rPr>
    </w:lvl>
    <w:lvl w:ilvl="1" w:tentative="0">
      <w:start w:val="1"/>
      <w:numFmt w:val="decimal"/>
      <w:pStyle w:val="111"/>
      <w:lvlText w:val="%2)"/>
      <w:lvlJc w:val="left"/>
      <w:pPr>
        <w:tabs>
          <w:tab w:val="left" w:pos="1276"/>
        </w:tabs>
        <w:ind w:left="1276" w:hanging="425"/>
      </w:pPr>
      <w:rPr>
        <w:rFonts w:hint="eastAsia" w:ascii="宋体" w:hAnsi="Times New Roman" w:eastAsia="宋体"/>
        <w:sz w:val="21"/>
      </w:rPr>
    </w:lvl>
    <w:lvl w:ilvl="2" w:tentative="0">
      <w:start w:val="1"/>
      <w:numFmt w:val="decimal"/>
      <w:pStyle w:val="119"/>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4">
    <w:nsid w:val="48802D1C"/>
    <w:multiLevelType w:val="multilevel"/>
    <w:tmpl w:val="48802D1C"/>
    <w:lvl w:ilvl="0" w:tentative="0">
      <w:start w:val="1"/>
      <w:numFmt w:val="upperLetter"/>
      <w:pStyle w:val="200"/>
      <w:lvlText w:val="%1"/>
      <w:lvlJc w:val="left"/>
      <w:pPr>
        <w:ind w:left="420" w:hanging="420"/>
      </w:pPr>
      <w:rPr>
        <w:rFonts w:hint="eastAsia"/>
      </w:rPr>
    </w:lvl>
    <w:lvl w:ilvl="1" w:tentative="0">
      <w:start w:val="1"/>
      <w:numFmt w:val="decimal"/>
      <w:pStyle w:val="85"/>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5">
    <w:nsid w:val="4B733A5F"/>
    <w:multiLevelType w:val="multilevel"/>
    <w:tmpl w:val="4B733A5F"/>
    <w:lvl w:ilvl="0" w:tentative="0">
      <w:start w:val="1"/>
      <w:numFmt w:val="decimal"/>
      <w:pStyle w:val="185"/>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6">
    <w:nsid w:val="4E5D0534"/>
    <w:multiLevelType w:val="multilevel"/>
    <w:tmpl w:val="4E5D0534"/>
    <w:lvl w:ilvl="0" w:tentative="0">
      <w:start w:val="1"/>
      <w:numFmt w:val="decimal"/>
      <w:pStyle w:val="118"/>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7">
    <w:nsid w:val="54632751"/>
    <w:multiLevelType w:val="multilevel"/>
    <w:tmpl w:val="54632751"/>
    <w:lvl w:ilvl="0" w:tentative="0">
      <w:start w:val="1"/>
      <w:numFmt w:val="none"/>
      <w:pStyle w:val="95"/>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8">
    <w:nsid w:val="557C2AF5"/>
    <w:multiLevelType w:val="multilevel"/>
    <w:tmpl w:val="557C2AF5"/>
    <w:lvl w:ilvl="0" w:tentative="0">
      <w:start w:val="1"/>
      <w:numFmt w:val="decimal"/>
      <w:pStyle w:val="116"/>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9">
    <w:nsid w:val="5603797C"/>
    <w:multiLevelType w:val="multilevel"/>
    <w:tmpl w:val="5603797C"/>
    <w:lvl w:ilvl="0" w:tentative="0">
      <w:start w:val="1"/>
      <w:numFmt w:val="upperLetter"/>
      <w:pStyle w:val="201"/>
      <w:suff w:val="space"/>
      <w:lvlText w:val="%1"/>
      <w:lvlJc w:val="left"/>
      <w:pPr>
        <w:ind w:left="425" w:hanging="425"/>
      </w:pPr>
      <w:rPr>
        <w:rFonts w:hint="eastAsia"/>
      </w:rPr>
    </w:lvl>
    <w:lvl w:ilvl="1" w:tentative="0">
      <w:start w:val="1"/>
      <w:numFmt w:val="decimal"/>
      <w:pStyle w:val="79"/>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0">
    <w:nsid w:val="564D2089"/>
    <w:multiLevelType w:val="multilevel"/>
    <w:tmpl w:val="564D2089"/>
    <w:lvl w:ilvl="0" w:tentative="0">
      <w:start w:val="1"/>
      <w:numFmt w:val="none"/>
      <w:pStyle w:val="113"/>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644622F9"/>
    <w:multiLevelType w:val="multilevel"/>
    <w:tmpl w:val="644622F9"/>
    <w:lvl w:ilvl="0" w:tentative="0">
      <w:start w:val="1"/>
      <w:numFmt w:val="upp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2">
    <w:nsid w:val="646260FA"/>
    <w:multiLevelType w:val="multilevel"/>
    <w:tmpl w:val="646260FA"/>
    <w:lvl w:ilvl="0" w:tentative="0">
      <w:start w:val="1"/>
      <w:numFmt w:val="decimal"/>
      <w:pStyle w:val="114"/>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3">
    <w:nsid w:val="654A26C9"/>
    <w:multiLevelType w:val="multilevel"/>
    <w:tmpl w:val="654A26C9"/>
    <w:lvl w:ilvl="0" w:tentative="0">
      <w:start w:val="1"/>
      <w:numFmt w:val="none"/>
      <w:pStyle w:val="191"/>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4">
    <w:nsid w:val="657D3FBC"/>
    <w:multiLevelType w:val="multilevel"/>
    <w:tmpl w:val="657D3FBC"/>
    <w:lvl w:ilvl="0" w:tentative="0">
      <w:start w:val="1"/>
      <w:numFmt w:val="upperLetter"/>
      <w:pStyle w:val="78"/>
      <w:suff w:val="nothing"/>
      <w:lvlText w:val="附录%1"/>
      <w:lvlJc w:val="left"/>
      <w:pPr>
        <w:ind w:left="0" w:firstLine="0"/>
      </w:pPr>
      <w:rPr>
        <w:rFonts w:hint="eastAsia"/>
        <w:spacing w:val="100"/>
      </w:rPr>
    </w:lvl>
    <w:lvl w:ilvl="1" w:tentative="0">
      <w:start w:val="1"/>
      <w:numFmt w:val="decimal"/>
      <w:pStyle w:val="80"/>
      <w:suff w:val="nothing"/>
      <w:lvlText w:val="%1.%2　"/>
      <w:lvlJc w:val="left"/>
      <w:pPr>
        <w:ind w:left="0" w:firstLine="0"/>
      </w:pPr>
      <w:rPr>
        <w:rFonts w:hint="eastAsia" w:ascii="黑体" w:eastAsia="黑体"/>
        <w:b w:val="0"/>
        <w:i w:val="0"/>
        <w:sz w:val="21"/>
      </w:rPr>
    </w:lvl>
    <w:lvl w:ilvl="2" w:tentative="0">
      <w:start w:val="1"/>
      <w:numFmt w:val="decimal"/>
      <w:pStyle w:val="81"/>
      <w:suff w:val="nothing"/>
      <w:lvlText w:val="%1.%2.%3　"/>
      <w:lvlJc w:val="left"/>
      <w:pPr>
        <w:ind w:left="0" w:firstLine="0"/>
      </w:pPr>
      <w:rPr>
        <w:rFonts w:hint="eastAsia" w:ascii="黑体" w:eastAsia="黑体"/>
        <w:b w:val="0"/>
        <w:i w:val="0"/>
        <w:sz w:val="21"/>
      </w:rPr>
    </w:lvl>
    <w:lvl w:ilvl="3" w:tentative="0">
      <w:start w:val="1"/>
      <w:numFmt w:val="decimal"/>
      <w:pStyle w:val="83"/>
      <w:suff w:val="nothing"/>
      <w:lvlText w:val="%1.%2.%3.%4　"/>
      <w:lvlJc w:val="left"/>
      <w:pPr>
        <w:ind w:left="0" w:firstLine="0"/>
      </w:pPr>
      <w:rPr>
        <w:rFonts w:hint="eastAsia" w:ascii="黑体" w:eastAsia="黑体"/>
        <w:b w:val="0"/>
        <w:i w:val="0"/>
        <w:sz w:val="21"/>
      </w:rPr>
    </w:lvl>
    <w:lvl w:ilvl="4" w:tentative="0">
      <w:start w:val="1"/>
      <w:numFmt w:val="decimal"/>
      <w:pStyle w:val="84"/>
      <w:suff w:val="nothing"/>
      <w:lvlText w:val="%1.%2.%3.%4.%5　"/>
      <w:lvlJc w:val="left"/>
      <w:pPr>
        <w:ind w:left="0" w:firstLine="0"/>
      </w:pPr>
      <w:rPr>
        <w:rFonts w:hint="eastAsia" w:ascii="黑体" w:eastAsia="黑体"/>
        <w:b w:val="0"/>
        <w:i w:val="0"/>
        <w:sz w:val="21"/>
      </w:rPr>
    </w:lvl>
    <w:lvl w:ilvl="5" w:tentative="0">
      <w:start w:val="1"/>
      <w:numFmt w:val="decimal"/>
      <w:pStyle w:val="86"/>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5">
    <w:nsid w:val="69506ABF"/>
    <w:multiLevelType w:val="multilevel"/>
    <w:tmpl w:val="69506ABF"/>
    <w:lvl w:ilvl="0" w:tentative="0">
      <w:start w:val="1"/>
      <w:numFmt w:val="bullet"/>
      <w:pStyle w:val="190"/>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6">
    <w:nsid w:val="6CA41985"/>
    <w:multiLevelType w:val="multilevel"/>
    <w:tmpl w:val="6CA41985"/>
    <w:lvl w:ilvl="0" w:tentative="0">
      <w:start w:val="1"/>
      <w:numFmt w:val="decimal"/>
      <w:pStyle w:val="99"/>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7">
    <w:nsid w:val="6CE42AC1"/>
    <w:multiLevelType w:val="multilevel"/>
    <w:tmpl w:val="6CE42AC1"/>
    <w:lvl w:ilvl="0" w:tentative="0">
      <w:start w:val="1"/>
      <w:numFmt w:val="lowerLetter"/>
      <w:pStyle w:val="175"/>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8">
    <w:nsid w:val="6CEA2025"/>
    <w:multiLevelType w:val="multilevel"/>
    <w:tmpl w:val="6CEA2025"/>
    <w:lvl w:ilvl="0" w:tentative="0">
      <w:start w:val="1"/>
      <w:numFmt w:val="none"/>
      <w:pStyle w:val="154"/>
      <w:suff w:val="nothing"/>
      <w:lvlText w:val="%1"/>
      <w:lvlJc w:val="left"/>
      <w:pPr>
        <w:ind w:left="0" w:firstLine="0"/>
      </w:pPr>
      <w:rPr>
        <w:rFonts w:hint="eastAsia"/>
      </w:rPr>
    </w:lvl>
    <w:lvl w:ilvl="1" w:tentative="0">
      <w:start w:val="1"/>
      <w:numFmt w:val="decimal"/>
      <w:pStyle w:val="106"/>
      <w:suff w:val="nothing"/>
      <w:lvlText w:val="%1%2　"/>
      <w:lvlJc w:val="left"/>
      <w:pPr>
        <w:ind w:left="0" w:firstLine="0"/>
      </w:pPr>
      <w:rPr>
        <w:rFonts w:hint="eastAsia" w:ascii="黑体" w:eastAsia="黑体"/>
        <w:b w:val="0"/>
        <w:i w:val="0"/>
        <w:sz w:val="21"/>
      </w:rPr>
    </w:lvl>
    <w:lvl w:ilvl="2" w:tentative="0">
      <w:start w:val="1"/>
      <w:numFmt w:val="decimal"/>
      <w:pStyle w:val="107"/>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7"/>
      <w:suff w:val="nothing"/>
      <w:lvlText w:val="%1%2.%3.%4　"/>
      <w:lvlJc w:val="left"/>
      <w:pPr>
        <w:ind w:left="0" w:firstLine="0"/>
      </w:pPr>
      <w:rPr>
        <w:rFonts w:hint="eastAsia" w:ascii="黑体" w:eastAsia="黑体"/>
        <w:b w:val="0"/>
        <w:i w:val="0"/>
        <w:sz w:val="21"/>
      </w:rPr>
    </w:lvl>
    <w:lvl w:ilvl="4" w:tentative="0">
      <w:start w:val="1"/>
      <w:numFmt w:val="decimal"/>
      <w:pStyle w:val="96"/>
      <w:suff w:val="nothing"/>
      <w:lvlText w:val="%1%2.%3.%4.%5　"/>
      <w:lvlJc w:val="left"/>
      <w:pPr>
        <w:ind w:left="0" w:firstLine="0"/>
      </w:pPr>
      <w:rPr>
        <w:rFonts w:hint="eastAsia" w:ascii="黑体" w:eastAsia="黑体"/>
        <w:b w:val="0"/>
        <w:i w:val="0"/>
        <w:sz w:val="21"/>
      </w:rPr>
    </w:lvl>
    <w:lvl w:ilvl="5" w:tentative="0">
      <w:start w:val="1"/>
      <w:numFmt w:val="decimal"/>
      <w:pStyle w:val="100"/>
      <w:suff w:val="nothing"/>
      <w:lvlText w:val="%1%2.%3.%4.%5.%6　"/>
      <w:lvlJc w:val="left"/>
      <w:pPr>
        <w:ind w:left="0" w:firstLine="0"/>
      </w:pPr>
      <w:rPr>
        <w:rFonts w:hint="eastAsia" w:ascii="黑体" w:eastAsia="黑体"/>
        <w:b w:val="0"/>
        <w:i w:val="0"/>
        <w:sz w:val="21"/>
      </w:rPr>
    </w:lvl>
    <w:lvl w:ilvl="6" w:tentative="0">
      <w:start w:val="1"/>
      <w:numFmt w:val="decimal"/>
      <w:pStyle w:val="105"/>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9">
    <w:nsid w:val="6DBF04F4"/>
    <w:multiLevelType w:val="multilevel"/>
    <w:tmpl w:val="6DBF04F4"/>
    <w:lvl w:ilvl="0" w:tentative="0">
      <w:start w:val="1"/>
      <w:numFmt w:val="none"/>
      <w:pStyle w:val="181"/>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0">
    <w:nsid w:val="6DF35F19"/>
    <w:multiLevelType w:val="multilevel"/>
    <w:tmpl w:val="6DF35F19"/>
    <w:lvl w:ilvl="0" w:tentative="0">
      <w:start w:val="1"/>
      <w:numFmt w:val="decimal"/>
      <w:pStyle w:val="117"/>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1">
    <w:nsid w:val="76933334"/>
    <w:multiLevelType w:val="multilevel"/>
    <w:tmpl w:val="76933334"/>
    <w:lvl w:ilvl="0" w:tentative="0">
      <w:start w:val="1"/>
      <w:numFmt w:val="none"/>
      <w:pStyle w:val="141"/>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28"/>
  </w:num>
  <w:num w:numId="3">
    <w:abstractNumId w:val="6"/>
  </w:num>
  <w:num w:numId="4">
    <w:abstractNumId w:val="24"/>
  </w:num>
  <w:num w:numId="5">
    <w:abstractNumId w:val="19"/>
  </w:num>
  <w:num w:numId="6">
    <w:abstractNumId w:val="14"/>
  </w:num>
  <w:num w:numId="7">
    <w:abstractNumId w:val="9"/>
  </w:num>
  <w:num w:numId="8">
    <w:abstractNumId w:val="4"/>
  </w:num>
  <w:num w:numId="9">
    <w:abstractNumId w:val="10"/>
  </w:num>
  <w:num w:numId="10">
    <w:abstractNumId w:val="17"/>
  </w:num>
  <w:num w:numId="11">
    <w:abstractNumId w:val="26"/>
  </w:num>
  <w:num w:numId="12">
    <w:abstractNumId w:val="12"/>
  </w:num>
  <w:num w:numId="13">
    <w:abstractNumId w:val="13"/>
  </w:num>
  <w:num w:numId="14">
    <w:abstractNumId w:val="8"/>
  </w:num>
  <w:num w:numId="15">
    <w:abstractNumId w:val="20"/>
  </w:num>
  <w:num w:numId="16">
    <w:abstractNumId w:val="22"/>
  </w:num>
  <w:num w:numId="17">
    <w:abstractNumId w:val="18"/>
  </w:num>
  <w:num w:numId="18">
    <w:abstractNumId w:val="30"/>
  </w:num>
  <w:num w:numId="19">
    <w:abstractNumId w:val="16"/>
  </w:num>
  <w:num w:numId="20">
    <w:abstractNumId w:val="2"/>
  </w:num>
  <w:num w:numId="21">
    <w:abstractNumId w:val="11"/>
  </w:num>
  <w:num w:numId="22">
    <w:abstractNumId w:val="31"/>
  </w:num>
  <w:num w:numId="23">
    <w:abstractNumId w:val="21"/>
  </w:num>
  <w:num w:numId="24">
    <w:abstractNumId w:val="7"/>
  </w:num>
  <w:num w:numId="25">
    <w:abstractNumId w:val="27"/>
  </w:num>
  <w:num w:numId="26">
    <w:abstractNumId w:val="29"/>
  </w:num>
  <w:num w:numId="27">
    <w:abstractNumId w:val="3"/>
  </w:num>
  <w:num w:numId="28">
    <w:abstractNumId w:val="5"/>
  </w:num>
  <w:num w:numId="29">
    <w:abstractNumId w:val="15"/>
  </w:num>
  <w:num w:numId="30">
    <w:abstractNumId w:val="25"/>
  </w:num>
  <w:num w:numId="31">
    <w:abstractNumId w:val="23"/>
  </w:num>
  <w:num w:numId="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attachedTemplate r:id="rId1"/>
  <w:documentProtection w:edit="forms"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ZhNjllYzg4NWIzYTE4N2E1NGU2OWIxN2ViNDM0YmIifQ=="/>
  </w:docVars>
  <w:rsids>
    <w:rsidRoot w:val="00533B56"/>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3C8C"/>
    <w:rsid w:val="00077B64"/>
    <w:rsid w:val="00080A1C"/>
    <w:rsid w:val="00082317"/>
    <w:rsid w:val="00083D2C"/>
    <w:rsid w:val="00086AA1"/>
    <w:rsid w:val="00087A77"/>
    <w:rsid w:val="00090CA6"/>
    <w:rsid w:val="00092B8A"/>
    <w:rsid w:val="00092FB0"/>
    <w:rsid w:val="000934C5"/>
    <w:rsid w:val="00093D25"/>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2FBD"/>
    <w:rsid w:val="000C3E10"/>
    <w:rsid w:val="000C4B41"/>
    <w:rsid w:val="000C57D6"/>
    <w:rsid w:val="000C7666"/>
    <w:rsid w:val="000D0A9C"/>
    <w:rsid w:val="000D1795"/>
    <w:rsid w:val="000D329A"/>
    <w:rsid w:val="000D4B9C"/>
    <w:rsid w:val="000D4EB6"/>
    <w:rsid w:val="000D753B"/>
    <w:rsid w:val="000E45E3"/>
    <w:rsid w:val="000E4C9E"/>
    <w:rsid w:val="000E6FD7"/>
    <w:rsid w:val="000F06E1"/>
    <w:rsid w:val="000F0E3C"/>
    <w:rsid w:val="000F19D5"/>
    <w:rsid w:val="000F2E41"/>
    <w:rsid w:val="000F4AEA"/>
    <w:rsid w:val="000F6501"/>
    <w:rsid w:val="000F67E9"/>
    <w:rsid w:val="001016A7"/>
    <w:rsid w:val="00104926"/>
    <w:rsid w:val="00112FD5"/>
    <w:rsid w:val="00113B1E"/>
    <w:rsid w:val="0011711C"/>
    <w:rsid w:val="00124E4F"/>
    <w:rsid w:val="001260B7"/>
    <w:rsid w:val="001265CB"/>
    <w:rsid w:val="001321C6"/>
    <w:rsid w:val="001325C4"/>
    <w:rsid w:val="00133010"/>
    <w:rsid w:val="001337A1"/>
    <w:rsid w:val="001338EE"/>
    <w:rsid w:val="00133AAE"/>
    <w:rsid w:val="00135323"/>
    <w:rsid w:val="001356C4"/>
    <w:rsid w:val="00141114"/>
    <w:rsid w:val="00142969"/>
    <w:rsid w:val="001457E7"/>
    <w:rsid w:val="00145D9D"/>
    <w:rsid w:val="00146388"/>
    <w:rsid w:val="001529E5"/>
    <w:rsid w:val="00153C7E"/>
    <w:rsid w:val="00156B25"/>
    <w:rsid w:val="00156E1A"/>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90087"/>
    <w:rsid w:val="001913C4"/>
    <w:rsid w:val="0019348F"/>
    <w:rsid w:val="00193A07"/>
    <w:rsid w:val="00194C95"/>
    <w:rsid w:val="00195C34"/>
    <w:rsid w:val="001A1A53"/>
    <w:rsid w:val="001A234A"/>
    <w:rsid w:val="001B06E8"/>
    <w:rsid w:val="001B5769"/>
    <w:rsid w:val="001B71D0"/>
    <w:rsid w:val="001B71EE"/>
    <w:rsid w:val="001C04A8"/>
    <w:rsid w:val="001C2C03"/>
    <w:rsid w:val="001C42F7"/>
    <w:rsid w:val="001C49E5"/>
    <w:rsid w:val="001C680C"/>
    <w:rsid w:val="001C72F6"/>
    <w:rsid w:val="001C7FEA"/>
    <w:rsid w:val="001D0499"/>
    <w:rsid w:val="001D0BBE"/>
    <w:rsid w:val="001D0ED4"/>
    <w:rsid w:val="001D1C53"/>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107D"/>
    <w:rsid w:val="00202AA4"/>
    <w:rsid w:val="002031F7"/>
    <w:rsid w:val="002040E6"/>
    <w:rsid w:val="0020527B"/>
    <w:rsid w:val="00210B15"/>
    <w:rsid w:val="002142EA"/>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94F"/>
    <w:rsid w:val="0026148A"/>
    <w:rsid w:val="00262696"/>
    <w:rsid w:val="002643C3"/>
    <w:rsid w:val="00264A0C"/>
    <w:rsid w:val="00267EF4"/>
    <w:rsid w:val="00270CB8"/>
    <w:rsid w:val="00272B08"/>
    <w:rsid w:val="00281BB8"/>
    <w:rsid w:val="00281E9E"/>
    <w:rsid w:val="00285170"/>
    <w:rsid w:val="00285361"/>
    <w:rsid w:val="00292D6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F44"/>
    <w:rsid w:val="002B0C40"/>
    <w:rsid w:val="002B1966"/>
    <w:rsid w:val="002B4508"/>
    <w:rsid w:val="002B5779"/>
    <w:rsid w:val="002B7332"/>
    <w:rsid w:val="002B7F51"/>
    <w:rsid w:val="002C09E7"/>
    <w:rsid w:val="002C1B28"/>
    <w:rsid w:val="002C3F07"/>
    <w:rsid w:val="002C49DC"/>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06C54"/>
    <w:rsid w:val="00313B85"/>
    <w:rsid w:val="00314BDF"/>
    <w:rsid w:val="00317988"/>
    <w:rsid w:val="003221B4"/>
    <w:rsid w:val="00322E62"/>
    <w:rsid w:val="00324EDD"/>
    <w:rsid w:val="00336C64"/>
    <w:rsid w:val="00337162"/>
    <w:rsid w:val="0034194F"/>
    <w:rsid w:val="00344605"/>
    <w:rsid w:val="003474AA"/>
    <w:rsid w:val="00350D1D"/>
    <w:rsid w:val="00352C83"/>
    <w:rsid w:val="003615D2"/>
    <w:rsid w:val="0036429C"/>
    <w:rsid w:val="00364A53"/>
    <w:rsid w:val="003654CB"/>
    <w:rsid w:val="00365F86"/>
    <w:rsid w:val="00365F87"/>
    <w:rsid w:val="003705F4"/>
    <w:rsid w:val="00370D58"/>
    <w:rsid w:val="00371316"/>
    <w:rsid w:val="00376713"/>
    <w:rsid w:val="00381815"/>
    <w:rsid w:val="003819AF"/>
    <w:rsid w:val="003820E9"/>
    <w:rsid w:val="00382DE7"/>
    <w:rsid w:val="00384FFC"/>
    <w:rsid w:val="003872FC"/>
    <w:rsid w:val="00387ADC"/>
    <w:rsid w:val="00390020"/>
    <w:rsid w:val="003903D6"/>
    <w:rsid w:val="003906E5"/>
    <w:rsid w:val="00390EE6"/>
    <w:rsid w:val="0039118F"/>
    <w:rsid w:val="00392AD7"/>
    <w:rsid w:val="00392C1E"/>
    <w:rsid w:val="003938D9"/>
    <w:rsid w:val="00394376"/>
    <w:rsid w:val="003943FF"/>
    <w:rsid w:val="003974EB"/>
    <w:rsid w:val="00397CC5"/>
    <w:rsid w:val="003A1582"/>
    <w:rsid w:val="003A4077"/>
    <w:rsid w:val="003B09AD"/>
    <w:rsid w:val="003B1F18"/>
    <w:rsid w:val="003B5BF0"/>
    <w:rsid w:val="003B60BF"/>
    <w:rsid w:val="003B6BE3"/>
    <w:rsid w:val="003C010C"/>
    <w:rsid w:val="003C0A6C"/>
    <w:rsid w:val="003C5A43"/>
    <w:rsid w:val="003D0519"/>
    <w:rsid w:val="003D0FF6"/>
    <w:rsid w:val="003D1F1F"/>
    <w:rsid w:val="003D262C"/>
    <w:rsid w:val="003D6D61"/>
    <w:rsid w:val="003E091D"/>
    <w:rsid w:val="003E1C53"/>
    <w:rsid w:val="003E2A69"/>
    <w:rsid w:val="003E2D49"/>
    <w:rsid w:val="003E2FD4"/>
    <w:rsid w:val="003E49F6"/>
    <w:rsid w:val="003F0841"/>
    <w:rsid w:val="003F23D3"/>
    <w:rsid w:val="003F3F08"/>
    <w:rsid w:val="003F49F1"/>
    <w:rsid w:val="003F6272"/>
    <w:rsid w:val="00400E72"/>
    <w:rsid w:val="00401400"/>
    <w:rsid w:val="00404869"/>
    <w:rsid w:val="00405884"/>
    <w:rsid w:val="00407D39"/>
    <w:rsid w:val="0041477A"/>
    <w:rsid w:val="004167A3"/>
    <w:rsid w:val="00426189"/>
    <w:rsid w:val="00432DAA"/>
    <w:rsid w:val="00434305"/>
    <w:rsid w:val="004347D3"/>
    <w:rsid w:val="00435DF7"/>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84936"/>
    <w:rsid w:val="00485C89"/>
    <w:rsid w:val="00486BE3"/>
    <w:rsid w:val="004905E4"/>
    <w:rsid w:val="00490A89"/>
    <w:rsid w:val="00490AB4"/>
    <w:rsid w:val="00490BE4"/>
    <w:rsid w:val="00492F02"/>
    <w:rsid w:val="004939AE"/>
    <w:rsid w:val="004A12DF"/>
    <w:rsid w:val="004A1BA8"/>
    <w:rsid w:val="004A4B57"/>
    <w:rsid w:val="004A63FA"/>
    <w:rsid w:val="004B2701"/>
    <w:rsid w:val="004B2E1B"/>
    <w:rsid w:val="004B3E93"/>
    <w:rsid w:val="004C1FBC"/>
    <w:rsid w:val="004C3F1D"/>
    <w:rsid w:val="004C458D"/>
    <w:rsid w:val="004C7556"/>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4DF9"/>
    <w:rsid w:val="00516088"/>
    <w:rsid w:val="00516B0B"/>
    <w:rsid w:val="005220EC"/>
    <w:rsid w:val="00523F95"/>
    <w:rsid w:val="00524D65"/>
    <w:rsid w:val="00525B16"/>
    <w:rsid w:val="00533B56"/>
    <w:rsid w:val="00533D04"/>
    <w:rsid w:val="00534804"/>
    <w:rsid w:val="00534BDF"/>
    <w:rsid w:val="005354EA"/>
    <w:rsid w:val="00535EC4"/>
    <w:rsid w:val="00535ED9"/>
    <w:rsid w:val="0053692B"/>
    <w:rsid w:val="00541853"/>
    <w:rsid w:val="00543BDA"/>
    <w:rsid w:val="005441CC"/>
    <w:rsid w:val="00546A53"/>
    <w:rsid w:val="005479DA"/>
    <w:rsid w:val="00547BCC"/>
    <w:rsid w:val="0055013B"/>
    <w:rsid w:val="00550271"/>
    <w:rsid w:val="00551F6F"/>
    <w:rsid w:val="00555044"/>
    <w:rsid w:val="00560241"/>
    <w:rsid w:val="00561475"/>
    <w:rsid w:val="0056487B"/>
    <w:rsid w:val="00564FB9"/>
    <w:rsid w:val="00573D9E"/>
    <w:rsid w:val="005801E3"/>
    <w:rsid w:val="00581802"/>
    <w:rsid w:val="005836A8"/>
    <w:rsid w:val="00584262"/>
    <w:rsid w:val="00586630"/>
    <w:rsid w:val="00587ADD"/>
    <w:rsid w:val="00596160"/>
    <w:rsid w:val="005966E2"/>
    <w:rsid w:val="00597007"/>
    <w:rsid w:val="005A0966"/>
    <w:rsid w:val="005A11B7"/>
    <w:rsid w:val="005A260B"/>
    <w:rsid w:val="005A4A1B"/>
    <w:rsid w:val="005A7830"/>
    <w:rsid w:val="005A7FCE"/>
    <w:rsid w:val="005B0F3F"/>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7881"/>
    <w:rsid w:val="005E78E0"/>
    <w:rsid w:val="005F0D9C"/>
    <w:rsid w:val="005F284E"/>
    <w:rsid w:val="005F780D"/>
    <w:rsid w:val="006002B2"/>
    <w:rsid w:val="006015CE"/>
    <w:rsid w:val="00604784"/>
    <w:rsid w:val="00606419"/>
    <w:rsid w:val="00607D29"/>
    <w:rsid w:val="00612952"/>
    <w:rsid w:val="00614CC1"/>
    <w:rsid w:val="00615A9D"/>
    <w:rsid w:val="006162BE"/>
    <w:rsid w:val="00616BBB"/>
    <w:rsid w:val="00617387"/>
    <w:rsid w:val="006252D8"/>
    <w:rsid w:val="006259BC"/>
    <w:rsid w:val="0062636B"/>
    <w:rsid w:val="00626922"/>
    <w:rsid w:val="00632182"/>
    <w:rsid w:val="00632AE0"/>
    <w:rsid w:val="00633C17"/>
    <w:rsid w:val="00636E3E"/>
    <w:rsid w:val="006379F7"/>
    <w:rsid w:val="00637E4D"/>
    <w:rsid w:val="00640620"/>
    <w:rsid w:val="00641A1F"/>
    <w:rsid w:val="00645904"/>
    <w:rsid w:val="00651ACB"/>
    <w:rsid w:val="00651C47"/>
    <w:rsid w:val="00652AB2"/>
    <w:rsid w:val="00654EC0"/>
    <w:rsid w:val="0065525B"/>
    <w:rsid w:val="00655D4F"/>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49CC"/>
    <w:rsid w:val="006850CD"/>
    <w:rsid w:val="00685AAB"/>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395C"/>
    <w:rsid w:val="006F6284"/>
    <w:rsid w:val="007002C5"/>
    <w:rsid w:val="00704387"/>
    <w:rsid w:val="00707669"/>
    <w:rsid w:val="00711CBA"/>
    <w:rsid w:val="00711FB5"/>
    <w:rsid w:val="00712A01"/>
    <w:rsid w:val="00714F58"/>
    <w:rsid w:val="00722114"/>
    <w:rsid w:val="00722798"/>
    <w:rsid w:val="00722FBF"/>
    <w:rsid w:val="00722FC2"/>
    <w:rsid w:val="00725949"/>
    <w:rsid w:val="00727FA2"/>
    <w:rsid w:val="007322D9"/>
    <w:rsid w:val="00732BC0"/>
    <w:rsid w:val="007356E3"/>
    <w:rsid w:val="0073720F"/>
    <w:rsid w:val="00737796"/>
    <w:rsid w:val="0074165C"/>
    <w:rsid w:val="00742EA2"/>
    <w:rsid w:val="007432CA"/>
    <w:rsid w:val="007439EB"/>
    <w:rsid w:val="00743CB4"/>
    <w:rsid w:val="00743F0A"/>
    <w:rsid w:val="007444E8"/>
    <w:rsid w:val="0074548E"/>
    <w:rsid w:val="00745773"/>
    <w:rsid w:val="00746800"/>
    <w:rsid w:val="007501A8"/>
    <w:rsid w:val="00750EE1"/>
    <w:rsid w:val="00752B4D"/>
    <w:rsid w:val="00755402"/>
    <w:rsid w:val="00756B26"/>
    <w:rsid w:val="00756EDF"/>
    <w:rsid w:val="007609A2"/>
    <w:rsid w:val="00765C43"/>
    <w:rsid w:val="00765EFB"/>
    <w:rsid w:val="007671CA"/>
    <w:rsid w:val="00767B27"/>
    <w:rsid w:val="00767C61"/>
    <w:rsid w:val="0077008A"/>
    <w:rsid w:val="00773C1F"/>
    <w:rsid w:val="00774DA4"/>
    <w:rsid w:val="00776599"/>
    <w:rsid w:val="0078114B"/>
    <w:rsid w:val="00781DD2"/>
    <w:rsid w:val="00783ECF"/>
    <w:rsid w:val="0078413A"/>
    <w:rsid w:val="00790CA3"/>
    <w:rsid w:val="007959E8"/>
    <w:rsid w:val="00795E9C"/>
    <w:rsid w:val="007A0521"/>
    <w:rsid w:val="007A061E"/>
    <w:rsid w:val="007A2E12"/>
    <w:rsid w:val="007A3475"/>
    <w:rsid w:val="007A41C8"/>
    <w:rsid w:val="007A54CE"/>
    <w:rsid w:val="007A7FFA"/>
    <w:rsid w:val="007B04EB"/>
    <w:rsid w:val="007B0D4F"/>
    <w:rsid w:val="007B5A3D"/>
    <w:rsid w:val="007B5B95"/>
    <w:rsid w:val="007B68EA"/>
    <w:rsid w:val="007C19E8"/>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10257"/>
    <w:rsid w:val="008104F5"/>
    <w:rsid w:val="00811072"/>
    <w:rsid w:val="00811369"/>
    <w:rsid w:val="00814E50"/>
    <w:rsid w:val="00815419"/>
    <w:rsid w:val="008163C8"/>
    <w:rsid w:val="00817325"/>
    <w:rsid w:val="008209E6"/>
    <w:rsid w:val="00823303"/>
    <w:rsid w:val="008233B2"/>
    <w:rsid w:val="00823A9F"/>
    <w:rsid w:val="00823C85"/>
    <w:rsid w:val="00825138"/>
    <w:rsid w:val="008269DD"/>
    <w:rsid w:val="00830621"/>
    <w:rsid w:val="0083348C"/>
    <w:rsid w:val="008373D3"/>
    <w:rsid w:val="00840617"/>
    <w:rsid w:val="008427DD"/>
    <w:rsid w:val="00842A47"/>
    <w:rsid w:val="00843C13"/>
    <w:rsid w:val="008454F8"/>
    <w:rsid w:val="00851342"/>
    <w:rsid w:val="0085173A"/>
    <w:rsid w:val="00856E99"/>
    <w:rsid w:val="008603CE"/>
    <w:rsid w:val="008620FC"/>
    <w:rsid w:val="008627A5"/>
    <w:rsid w:val="00863E05"/>
    <w:rsid w:val="00865ACA"/>
    <w:rsid w:val="00865D28"/>
    <w:rsid w:val="00865F85"/>
    <w:rsid w:val="00867C10"/>
    <w:rsid w:val="00870439"/>
    <w:rsid w:val="00870DA1"/>
    <w:rsid w:val="008823AB"/>
    <w:rsid w:val="008835F4"/>
    <w:rsid w:val="00883F93"/>
    <w:rsid w:val="00884DB3"/>
    <w:rsid w:val="00885A9D"/>
    <w:rsid w:val="008864F6"/>
    <w:rsid w:val="0089049D"/>
    <w:rsid w:val="008928C9"/>
    <w:rsid w:val="008938DC"/>
    <w:rsid w:val="00893FD1"/>
    <w:rsid w:val="00894836"/>
    <w:rsid w:val="00895172"/>
    <w:rsid w:val="00895680"/>
    <w:rsid w:val="00896DFF"/>
    <w:rsid w:val="0089762C"/>
    <w:rsid w:val="008A1893"/>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1673D"/>
    <w:rsid w:val="009245F5"/>
    <w:rsid w:val="009249EC"/>
    <w:rsid w:val="009273B3"/>
    <w:rsid w:val="009305B5"/>
    <w:rsid w:val="00934C12"/>
    <w:rsid w:val="00935567"/>
    <w:rsid w:val="009429D5"/>
    <w:rsid w:val="00942BF1"/>
    <w:rsid w:val="00945180"/>
    <w:rsid w:val="00945428"/>
    <w:rsid w:val="0094607B"/>
    <w:rsid w:val="00952C52"/>
    <w:rsid w:val="00953604"/>
    <w:rsid w:val="009610DC"/>
    <w:rsid w:val="00961490"/>
    <w:rsid w:val="0096381A"/>
    <w:rsid w:val="00965E04"/>
    <w:rsid w:val="009674AD"/>
    <w:rsid w:val="0097094E"/>
    <w:rsid w:val="00970CDC"/>
    <w:rsid w:val="0097259E"/>
    <w:rsid w:val="00977010"/>
    <w:rsid w:val="00977D02"/>
    <w:rsid w:val="009809BB"/>
    <w:rsid w:val="00982D22"/>
    <w:rsid w:val="0098364B"/>
    <w:rsid w:val="00983BF9"/>
    <w:rsid w:val="009911AF"/>
    <w:rsid w:val="00991875"/>
    <w:rsid w:val="00991F92"/>
    <w:rsid w:val="00992985"/>
    <w:rsid w:val="00993889"/>
    <w:rsid w:val="0099551B"/>
    <w:rsid w:val="00997BF1"/>
    <w:rsid w:val="009A089C"/>
    <w:rsid w:val="009A118E"/>
    <w:rsid w:val="009A21CD"/>
    <w:rsid w:val="009A278C"/>
    <w:rsid w:val="009A2BC2"/>
    <w:rsid w:val="009A3EEC"/>
    <w:rsid w:val="009A42C1"/>
    <w:rsid w:val="009A5429"/>
    <w:rsid w:val="009A72AD"/>
    <w:rsid w:val="009B09E0"/>
    <w:rsid w:val="009B0BC5"/>
    <w:rsid w:val="009B1247"/>
    <w:rsid w:val="009B6029"/>
    <w:rsid w:val="009B6971"/>
    <w:rsid w:val="009C182D"/>
    <w:rsid w:val="009C27F1"/>
    <w:rsid w:val="009C3152"/>
    <w:rsid w:val="009C4CFA"/>
    <w:rsid w:val="009C5070"/>
    <w:rsid w:val="009D112C"/>
    <w:rsid w:val="009D47FA"/>
    <w:rsid w:val="009D50D2"/>
    <w:rsid w:val="009D6BCA"/>
    <w:rsid w:val="009E0F62"/>
    <w:rsid w:val="009E4A58"/>
    <w:rsid w:val="009E5A2D"/>
    <w:rsid w:val="009E5AB2"/>
    <w:rsid w:val="009E6219"/>
    <w:rsid w:val="009F03B3"/>
    <w:rsid w:val="00A007A5"/>
    <w:rsid w:val="00A01757"/>
    <w:rsid w:val="00A028C0"/>
    <w:rsid w:val="00A02BAE"/>
    <w:rsid w:val="00A06A6B"/>
    <w:rsid w:val="00A07E47"/>
    <w:rsid w:val="00A129D0"/>
    <w:rsid w:val="00A12C33"/>
    <w:rsid w:val="00A138BA"/>
    <w:rsid w:val="00A14C8E"/>
    <w:rsid w:val="00A153D9"/>
    <w:rsid w:val="00A15F09"/>
    <w:rsid w:val="00A169B6"/>
    <w:rsid w:val="00A2271D"/>
    <w:rsid w:val="00A236E5"/>
    <w:rsid w:val="00A237D5"/>
    <w:rsid w:val="00A24F7B"/>
    <w:rsid w:val="00A30EFC"/>
    <w:rsid w:val="00A31984"/>
    <w:rsid w:val="00A32D73"/>
    <w:rsid w:val="00A32ECE"/>
    <w:rsid w:val="00A3367B"/>
    <w:rsid w:val="00A3597D"/>
    <w:rsid w:val="00A40091"/>
    <w:rsid w:val="00A4030F"/>
    <w:rsid w:val="00A41C79"/>
    <w:rsid w:val="00A41CB5"/>
    <w:rsid w:val="00A42CDF"/>
    <w:rsid w:val="00A4452E"/>
    <w:rsid w:val="00A4472C"/>
    <w:rsid w:val="00A44E69"/>
    <w:rsid w:val="00A4661E"/>
    <w:rsid w:val="00A5237B"/>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5595"/>
    <w:rsid w:val="00A963F7"/>
    <w:rsid w:val="00A96AD8"/>
    <w:rsid w:val="00AA052C"/>
    <w:rsid w:val="00AA1E45"/>
    <w:rsid w:val="00AA2A24"/>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2278"/>
    <w:rsid w:val="00AD3367"/>
    <w:rsid w:val="00AD4126"/>
    <w:rsid w:val="00AD421C"/>
    <w:rsid w:val="00AD44FA"/>
    <w:rsid w:val="00AE070A"/>
    <w:rsid w:val="00AE101C"/>
    <w:rsid w:val="00AF0C18"/>
    <w:rsid w:val="00AF47C5"/>
    <w:rsid w:val="00AF5398"/>
    <w:rsid w:val="00B049AF"/>
    <w:rsid w:val="00B07242"/>
    <w:rsid w:val="00B10534"/>
    <w:rsid w:val="00B113DB"/>
    <w:rsid w:val="00B11D8A"/>
    <w:rsid w:val="00B12981"/>
    <w:rsid w:val="00B147DD"/>
    <w:rsid w:val="00B156FD"/>
    <w:rsid w:val="00B21F61"/>
    <w:rsid w:val="00B23045"/>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2120"/>
    <w:rsid w:val="00B54ABC"/>
    <w:rsid w:val="00B56FBE"/>
    <w:rsid w:val="00B62B58"/>
    <w:rsid w:val="00B65149"/>
    <w:rsid w:val="00B66567"/>
    <w:rsid w:val="00B66F52"/>
    <w:rsid w:val="00B66FE5"/>
    <w:rsid w:val="00B675B7"/>
    <w:rsid w:val="00B72880"/>
    <w:rsid w:val="00B758BF"/>
    <w:rsid w:val="00B827A6"/>
    <w:rsid w:val="00B831CE"/>
    <w:rsid w:val="00B86677"/>
    <w:rsid w:val="00B87131"/>
    <w:rsid w:val="00B9127B"/>
    <w:rsid w:val="00B91566"/>
    <w:rsid w:val="00B9320C"/>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D6082"/>
    <w:rsid w:val="00BE22F3"/>
    <w:rsid w:val="00BE49EE"/>
    <w:rsid w:val="00BE5B52"/>
    <w:rsid w:val="00BE7B8D"/>
    <w:rsid w:val="00BF094D"/>
    <w:rsid w:val="00BF0993"/>
    <w:rsid w:val="00BF10A9"/>
    <w:rsid w:val="00BF1703"/>
    <w:rsid w:val="00BF231C"/>
    <w:rsid w:val="00BF51E5"/>
    <w:rsid w:val="00BF74A6"/>
    <w:rsid w:val="00BF7551"/>
    <w:rsid w:val="00C013AD"/>
    <w:rsid w:val="00C04904"/>
    <w:rsid w:val="00C056B3"/>
    <w:rsid w:val="00C103E5"/>
    <w:rsid w:val="00C13319"/>
    <w:rsid w:val="00C13EE9"/>
    <w:rsid w:val="00C14D87"/>
    <w:rsid w:val="00C21540"/>
    <w:rsid w:val="00C21906"/>
    <w:rsid w:val="00C21BFA"/>
    <w:rsid w:val="00C24C8D"/>
    <w:rsid w:val="00C25FE2"/>
    <w:rsid w:val="00C26B53"/>
    <w:rsid w:val="00C279B2"/>
    <w:rsid w:val="00C33E50"/>
    <w:rsid w:val="00C34C20"/>
    <w:rsid w:val="00C35A3E"/>
    <w:rsid w:val="00C42130"/>
    <w:rsid w:val="00C423A4"/>
    <w:rsid w:val="00C44BF5"/>
    <w:rsid w:val="00C55232"/>
    <w:rsid w:val="00C553A4"/>
    <w:rsid w:val="00C55A06"/>
    <w:rsid w:val="00C55D03"/>
    <w:rsid w:val="00C601BC"/>
    <w:rsid w:val="00C6329F"/>
    <w:rsid w:val="00C63340"/>
    <w:rsid w:val="00C643F9"/>
    <w:rsid w:val="00C64E95"/>
    <w:rsid w:val="00C655FD"/>
    <w:rsid w:val="00C71372"/>
    <w:rsid w:val="00C72410"/>
    <w:rsid w:val="00C7287F"/>
    <w:rsid w:val="00C72F0E"/>
    <w:rsid w:val="00C73CEA"/>
    <w:rsid w:val="00C80CB8"/>
    <w:rsid w:val="00C819F8"/>
    <w:rsid w:val="00C8248C"/>
    <w:rsid w:val="00C84E33"/>
    <w:rsid w:val="00C86D6F"/>
    <w:rsid w:val="00C905FC"/>
    <w:rsid w:val="00C92D03"/>
    <w:rsid w:val="00C9319C"/>
    <w:rsid w:val="00C9435D"/>
    <w:rsid w:val="00C94688"/>
    <w:rsid w:val="00C9517F"/>
    <w:rsid w:val="00C96741"/>
    <w:rsid w:val="00CA2D1B"/>
    <w:rsid w:val="00CA662A"/>
    <w:rsid w:val="00CA7AFD"/>
    <w:rsid w:val="00CA7C3C"/>
    <w:rsid w:val="00CB0189"/>
    <w:rsid w:val="00CB0BA2"/>
    <w:rsid w:val="00CB1A42"/>
    <w:rsid w:val="00CB1B0C"/>
    <w:rsid w:val="00CB2C0B"/>
    <w:rsid w:val="00CB517D"/>
    <w:rsid w:val="00CC038D"/>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44B1"/>
    <w:rsid w:val="00CF686F"/>
    <w:rsid w:val="00CF6E60"/>
    <w:rsid w:val="00CF7BCA"/>
    <w:rsid w:val="00D008FD"/>
    <w:rsid w:val="00D0321C"/>
    <w:rsid w:val="00D035EC"/>
    <w:rsid w:val="00D04B40"/>
    <w:rsid w:val="00D06AB1"/>
    <w:rsid w:val="00D072ED"/>
    <w:rsid w:val="00D07A16"/>
    <w:rsid w:val="00D1067E"/>
    <w:rsid w:val="00D10715"/>
    <w:rsid w:val="00D10F50"/>
    <w:rsid w:val="00D11272"/>
    <w:rsid w:val="00D126F5"/>
    <w:rsid w:val="00D1489E"/>
    <w:rsid w:val="00D20737"/>
    <w:rsid w:val="00D21E81"/>
    <w:rsid w:val="00D223DE"/>
    <w:rsid w:val="00D25E37"/>
    <w:rsid w:val="00D2661A"/>
    <w:rsid w:val="00D27582"/>
    <w:rsid w:val="00D32719"/>
    <w:rsid w:val="00D33333"/>
    <w:rsid w:val="00D352A2"/>
    <w:rsid w:val="00D40A83"/>
    <w:rsid w:val="00D4162B"/>
    <w:rsid w:val="00D4514F"/>
    <w:rsid w:val="00D451E2"/>
    <w:rsid w:val="00D4545E"/>
    <w:rsid w:val="00D45E89"/>
    <w:rsid w:val="00D45E8D"/>
    <w:rsid w:val="00D466AE"/>
    <w:rsid w:val="00D4734F"/>
    <w:rsid w:val="00D51BF3"/>
    <w:rsid w:val="00D63276"/>
    <w:rsid w:val="00D66846"/>
    <w:rsid w:val="00D675FB"/>
    <w:rsid w:val="00D71F25"/>
    <w:rsid w:val="00D77031"/>
    <w:rsid w:val="00D84941"/>
    <w:rsid w:val="00D84FA1"/>
    <w:rsid w:val="00D851F0"/>
    <w:rsid w:val="00D86DB7"/>
    <w:rsid w:val="00D926D0"/>
    <w:rsid w:val="00D93030"/>
    <w:rsid w:val="00D950E1"/>
    <w:rsid w:val="00D952A6"/>
    <w:rsid w:val="00D97F99"/>
    <w:rsid w:val="00DA19E7"/>
    <w:rsid w:val="00DA1E08"/>
    <w:rsid w:val="00DA24F8"/>
    <w:rsid w:val="00DA28E8"/>
    <w:rsid w:val="00DA38D3"/>
    <w:rsid w:val="00DA3932"/>
    <w:rsid w:val="00DA64F8"/>
    <w:rsid w:val="00DA6C15"/>
    <w:rsid w:val="00DA7370"/>
    <w:rsid w:val="00DB38EE"/>
    <w:rsid w:val="00DB498B"/>
    <w:rsid w:val="00DB66CA"/>
    <w:rsid w:val="00DB6BCA"/>
    <w:rsid w:val="00DC0321"/>
    <w:rsid w:val="00DC3067"/>
    <w:rsid w:val="00DC370B"/>
    <w:rsid w:val="00DC5B90"/>
    <w:rsid w:val="00DD00F2"/>
    <w:rsid w:val="00DD00FF"/>
    <w:rsid w:val="00DD0619"/>
    <w:rsid w:val="00DD07FB"/>
    <w:rsid w:val="00DD25C6"/>
    <w:rsid w:val="00DD54B0"/>
    <w:rsid w:val="00DD57EE"/>
    <w:rsid w:val="00DD6BCC"/>
    <w:rsid w:val="00DE0A4B"/>
    <w:rsid w:val="00DE2410"/>
    <w:rsid w:val="00DE2939"/>
    <w:rsid w:val="00DE51F0"/>
    <w:rsid w:val="00DE6E81"/>
    <w:rsid w:val="00DE703F"/>
    <w:rsid w:val="00DE7595"/>
    <w:rsid w:val="00DF15BE"/>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40C94"/>
    <w:rsid w:val="00E44A83"/>
    <w:rsid w:val="00E502C1"/>
    <w:rsid w:val="00E502DD"/>
    <w:rsid w:val="00E50D3A"/>
    <w:rsid w:val="00E51387"/>
    <w:rsid w:val="00E51E68"/>
    <w:rsid w:val="00E52EFD"/>
    <w:rsid w:val="00E5408A"/>
    <w:rsid w:val="00E56800"/>
    <w:rsid w:val="00E60CD7"/>
    <w:rsid w:val="00E62FF9"/>
    <w:rsid w:val="00E635D6"/>
    <w:rsid w:val="00E639BC"/>
    <w:rsid w:val="00E664CC"/>
    <w:rsid w:val="00E70388"/>
    <w:rsid w:val="00E70F92"/>
    <w:rsid w:val="00E74C54"/>
    <w:rsid w:val="00E77A03"/>
    <w:rsid w:val="00E822E8"/>
    <w:rsid w:val="00E82554"/>
    <w:rsid w:val="00E82606"/>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46BD"/>
    <w:rsid w:val="00F157A9"/>
    <w:rsid w:val="00F25BB6"/>
    <w:rsid w:val="00F26B7E"/>
    <w:rsid w:val="00F27A3B"/>
    <w:rsid w:val="00F33817"/>
    <w:rsid w:val="00F420D5"/>
    <w:rsid w:val="00F43903"/>
    <w:rsid w:val="00F451EA"/>
    <w:rsid w:val="00F45447"/>
    <w:rsid w:val="00F456C6"/>
    <w:rsid w:val="00F4577B"/>
    <w:rsid w:val="00F45F2D"/>
    <w:rsid w:val="00F46496"/>
    <w:rsid w:val="00F474D0"/>
    <w:rsid w:val="00F50179"/>
    <w:rsid w:val="00F56511"/>
    <w:rsid w:val="00F6194E"/>
    <w:rsid w:val="00F623AC"/>
    <w:rsid w:val="00F6412A"/>
    <w:rsid w:val="00F65893"/>
    <w:rsid w:val="00F66A4A"/>
    <w:rsid w:val="00F705EE"/>
    <w:rsid w:val="00F71E22"/>
    <w:rsid w:val="00F72142"/>
    <w:rsid w:val="00F72AE7"/>
    <w:rsid w:val="00F84934"/>
    <w:rsid w:val="00F84FD0"/>
    <w:rsid w:val="00F859A8"/>
    <w:rsid w:val="00F9108B"/>
    <w:rsid w:val="00F91349"/>
    <w:rsid w:val="00F93A8A"/>
    <w:rsid w:val="00F94C27"/>
    <w:rsid w:val="00F95248"/>
    <w:rsid w:val="00F956A9"/>
    <w:rsid w:val="00F963ED"/>
    <w:rsid w:val="00F966CF"/>
    <w:rsid w:val="00F96CAE"/>
    <w:rsid w:val="00F97C99"/>
    <w:rsid w:val="00FA662D"/>
    <w:rsid w:val="00FA73B1"/>
    <w:rsid w:val="00FB0CB9"/>
    <w:rsid w:val="00FB45F1"/>
    <w:rsid w:val="00FB4A72"/>
    <w:rsid w:val="00FB54E8"/>
    <w:rsid w:val="00FB7054"/>
    <w:rsid w:val="00FC17B7"/>
    <w:rsid w:val="00FC2CB7"/>
    <w:rsid w:val="00FC4090"/>
    <w:rsid w:val="00FC55B4"/>
    <w:rsid w:val="00FC5E32"/>
    <w:rsid w:val="00FD00E6"/>
    <w:rsid w:val="00FD09A1"/>
    <w:rsid w:val="00FD2A7C"/>
    <w:rsid w:val="00FD59EB"/>
    <w:rsid w:val="00FD7299"/>
    <w:rsid w:val="00FE1FBE"/>
    <w:rsid w:val="00FE3901"/>
    <w:rsid w:val="00FE4BCE"/>
    <w:rsid w:val="00FE54AE"/>
    <w:rsid w:val="00FE576A"/>
    <w:rsid w:val="00FE61CF"/>
    <w:rsid w:val="00FE7E79"/>
    <w:rsid w:val="00FF3E7D"/>
    <w:rsid w:val="00FF5B99"/>
    <w:rsid w:val="00FF730C"/>
    <w:rsid w:val="00FF73F4"/>
    <w:rsid w:val="00FF7CE4"/>
    <w:rsid w:val="00FF7E39"/>
    <w:rsid w:val="02C27EC8"/>
    <w:rsid w:val="047720E1"/>
    <w:rsid w:val="059B00A7"/>
    <w:rsid w:val="05BB3BD9"/>
    <w:rsid w:val="05DE3739"/>
    <w:rsid w:val="06AE3E08"/>
    <w:rsid w:val="07834997"/>
    <w:rsid w:val="0B9C2958"/>
    <w:rsid w:val="0C1B3CF0"/>
    <w:rsid w:val="0C725B43"/>
    <w:rsid w:val="0CA74150"/>
    <w:rsid w:val="0D225C14"/>
    <w:rsid w:val="0DAC4B34"/>
    <w:rsid w:val="0F16254C"/>
    <w:rsid w:val="123B0C21"/>
    <w:rsid w:val="135D4845"/>
    <w:rsid w:val="15BF18BB"/>
    <w:rsid w:val="184918BB"/>
    <w:rsid w:val="193803F7"/>
    <w:rsid w:val="1C163278"/>
    <w:rsid w:val="1DB16111"/>
    <w:rsid w:val="21C23743"/>
    <w:rsid w:val="22CF4589"/>
    <w:rsid w:val="240678E8"/>
    <w:rsid w:val="24BE1863"/>
    <w:rsid w:val="24DF295A"/>
    <w:rsid w:val="25EA2E28"/>
    <w:rsid w:val="26007455"/>
    <w:rsid w:val="26D11614"/>
    <w:rsid w:val="29276C21"/>
    <w:rsid w:val="29FB5299"/>
    <w:rsid w:val="2B1F1331"/>
    <w:rsid w:val="2C453BCA"/>
    <w:rsid w:val="2E650437"/>
    <w:rsid w:val="30896C20"/>
    <w:rsid w:val="344F5167"/>
    <w:rsid w:val="34656E52"/>
    <w:rsid w:val="348079F5"/>
    <w:rsid w:val="380114BC"/>
    <w:rsid w:val="3AF31810"/>
    <w:rsid w:val="3C572B79"/>
    <w:rsid w:val="3C926E07"/>
    <w:rsid w:val="3E3A724F"/>
    <w:rsid w:val="440D2099"/>
    <w:rsid w:val="442F7531"/>
    <w:rsid w:val="46900E72"/>
    <w:rsid w:val="46C774E0"/>
    <w:rsid w:val="471A0982"/>
    <w:rsid w:val="482D6F3F"/>
    <w:rsid w:val="4833737D"/>
    <w:rsid w:val="48784246"/>
    <w:rsid w:val="493D718C"/>
    <w:rsid w:val="49746212"/>
    <w:rsid w:val="499D5427"/>
    <w:rsid w:val="4A3513BC"/>
    <w:rsid w:val="4A566008"/>
    <w:rsid w:val="4A9E7372"/>
    <w:rsid w:val="4B272E10"/>
    <w:rsid w:val="4BE551D7"/>
    <w:rsid w:val="4CA55215"/>
    <w:rsid w:val="51B66A98"/>
    <w:rsid w:val="52097B6F"/>
    <w:rsid w:val="53C566B3"/>
    <w:rsid w:val="543947A0"/>
    <w:rsid w:val="546B0BED"/>
    <w:rsid w:val="54D429B7"/>
    <w:rsid w:val="552E6535"/>
    <w:rsid w:val="5822508B"/>
    <w:rsid w:val="58921AD3"/>
    <w:rsid w:val="590C27C7"/>
    <w:rsid w:val="59352B9C"/>
    <w:rsid w:val="60FE1428"/>
    <w:rsid w:val="61B00B94"/>
    <w:rsid w:val="62E73AEA"/>
    <w:rsid w:val="63363B1C"/>
    <w:rsid w:val="63D25BB7"/>
    <w:rsid w:val="667172FF"/>
    <w:rsid w:val="67837942"/>
    <w:rsid w:val="67C5790A"/>
    <w:rsid w:val="684156D8"/>
    <w:rsid w:val="68B92BEE"/>
    <w:rsid w:val="6E91041D"/>
    <w:rsid w:val="6EA714F2"/>
    <w:rsid w:val="71597917"/>
    <w:rsid w:val="7468740C"/>
    <w:rsid w:val="77016876"/>
    <w:rsid w:val="77784414"/>
    <w:rsid w:val="78151CD1"/>
    <w:rsid w:val="7B0306AD"/>
    <w:rsid w:val="7C6E372D"/>
    <w:rsid w:val="7D230C41"/>
    <w:rsid w:val="7DB46806"/>
    <w:rsid w:val="7FD662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6"/>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7"/>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8"/>
    <w:qFormat/>
    <w:uiPriority w:val="0"/>
    <w:pPr>
      <w:keepNext/>
      <w:keepLines/>
      <w:spacing w:before="260" w:after="260" w:line="416" w:lineRule="auto"/>
      <w:outlineLvl w:val="2"/>
    </w:pPr>
    <w:rPr>
      <w:b/>
      <w:bCs/>
      <w:sz w:val="32"/>
      <w:szCs w:val="32"/>
    </w:rPr>
  </w:style>
  <w:style w:type="paragraph" w:styleId="5">
    <w:name w:val="heading 4"/>
    <w:basedOn w:val="1"/>
    <w:next w:val="1"/>
    <w:link w:val="39"/>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40"/>
    <w:autoRedefine/>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1"/>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2"/>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3"/>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4"/>
    <w:autoRedefine/>
    <w:qFormat/>
    <w:uiPriority w:val="0"/>
    <w:pPr>
      <w:keepNext/>
      <w:keepLines/>
      <w:adjustRightInd/>
      <w:spacing w:before="240" w:after="64" w:line="320" w:lineRule="auto"/>
      <w:outlineLvl w:val="8"/>
    </w:pPr>
    <w:rPr>
      <w:rFonts w:ascii="Arial" w:hAnsi="Arial" w:eastAsia="黑体"/>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annotation text"/>
    <w:basedOn w:val="1"/>
    <w:semiHidden/>
    <w:unhideWhenUsed/>
    <w:qFormat/>
    <w:uiPriority w:val="99"/>
    <w:pPr>
      <w:jc w:val="left"/>
    </w:pPr>
  </w:style>
  <w:style w:type="paragraph" w:styleId="14">
    <w:name w:val="Body Text"/>
    <w:basedOn w:val="1"/>
    <w:link w:val="88"/>
    <w:qFormat/>
    <w:uiPriority w:val="99"/>
    <w:pPr>
      <w:spacing w:after="120"/>
    </w:pPr>
  </w:style>
  <w:style w:type="paragraph" w:styleId="15">
    <w:name w:val="toc 5"/>
    <w:basedOn w:val="1"/>
    <w:next w:val="1"/>
    <w:autoRedefine/>
    <w:unhideWhenUsed/>
    <w:qFormat/>
    <w:uiPriority w:val="39"/>
    <w:pPr>
      <w:ind w:left="839"/>
    </w:pPr>
    <w:rPr>
      <w:rFonts w:ascii="宋体"/>
    </w:rPr>
  </w:style>
  <w:style w:type="paragraph" w:styleId="16">
    <w:name w:val="toc 3"/>
    <w:basedOn w:val="1"/>
    <w:next w:val="1"/>
    <w:autoRedefine/>
    <w:unhideWhenUsed/>
    <w:qFormat/>
    <w:uiPriority w:val="39"/>
    <w:pPr>
      <w:spacing w:line="300" w:lineRule="exact"/>
      <w:ind w:left="420"/>
    </w:pPr>
    <w:rPr>
      <w:rFonts w:ascii="宋体"/>
    </w:rPr>
  </w:style>
  <w:style w:type="paragraph" w:styleId="17">
    <w:name w:val="Balloon Text"/>
    <w:basedOn w:val="1"/>
    <w:link w:val="47"/>
    <w:autoRedefine/>
    <w:semiHidden/>
    <w:unhideWhenUsed/>
    <w:qFormat/>
    <w:uiPriority w:val="99"/>
    <w:rPr>
      <w:sz w:val="18"/>
      <w:szCs w:val="18"/>
    </w:rPr>
  </w:style>
  <w:style w:type="paragraph" w:styleId="18">
    <w:name w:val="footer"/>
    <w:basedOn w:val="1"/>
    <w:link w:val="46"/>
    <w:autoRedefine/>
    <w:qFormat/>
    <w:uiPriority w:val="99"/>
    <w:pPr>
      <w:tabs>
        <w:tab w:val="center" w:pos="4153"/>
        <w:tab w:val="right" w:pos="8306"/>
      </w:tabs>
      <w:adjustRightInd/>
      <w:snapToGrid w:val="0"/>
      <w:spacing w:line="240" w:lineRule="auto"/>
      <w:jc w:val="right"/>
    </w:pPr>
    <w:rPr>
      <w:rFonts w:ascii="宋体"/>
      <w:sz w:val="18"/>
      <w:szCs w:val="18"/>
    </w:rPr>
  </w:style>
  <w:style w:type="paragraph" w:styleId="19">
    <w:name w:val="header"/>
    <w:basedOn w:val="1"/>
    <w:link w:val="45"/>
    <w:qFormat/>
    <w:uiPriority w:val="99"/>
    <w:pPr>
      <w:tabs>
        <w:tab w:val="center" w:pos="4153"/>
        <w:tab w:val="right" w:pos="8306"/>
      </w:tabs>
      <w:adjustRightInd/>
      <w:snapToGrid w:val="0"/>
      <w:jc w:val="center"/>
    </w:pPr>
    <w:rPr>
      <w:sz w:val="18"/>
      <w:szCs w:val="18"/>
    </w:rPr>
  </w:style>
  <w:style w:type="paragraph" w:styleId="20">
    <w:name w:val="toc 1"/>
    <w:basedOn w:val="1"/>
    <w:next w:val="1"/>
    <w:autoRedefine/>
    <w:unhideWhenUsed/>
    <w:qFormat/>
    <w:uiPriority w:val="39"/>
    <w:rPr>
      <w:rFonts w:ascii="宋体"/>
    </w:rPr>
  </w:style>
  <w:style w:type="paragraph" w:styleId="21">
    <w:name w:val="toc 4"/>
    <w:basedOn w:val="1"/>
    <w:next w:val="1"/>
    <w:autoRedefine/>
    <w:unhideWhenUsed/>
    <w:qFormat/>
    <w:uiPriority w:val="39"/>
    <w:pPr>
      <w:tabs>
        <w:tab w:val="right" w:leader="dot" w:pos="9344"/>
      </w:tabs>
      <w:spacing w:line="300" w:lineRule="exact"/>
      <w:ind w:left="629"/>
    </w:pPr>
    <w:rPr>
      <w:rFonts w:ascii="宋体"/>
    </w:rPr>
  </w:style>
  <w:style w:type="paragraph" w:styleId="22">
    <w:name w:val="footnote text"/>
    <w:basedOn w:val="1"/>
    <w:next w:val="1"/>
    <w:link w:val="101"/>
    <w:autoRedefine/>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3">
    <w:name w:val="toc 6"/>
    <w:basedOn w:val="1"/>
    <w:next w:val="1"/>
    <w:autoRedefine/>
    <w:unhideWhenUsed/>
    <w:qFormat/>
    <w:uiPriority w:val="39"/>
    <w:pPr>
      <w:spacing w:line="300" w:lineRule="exact"/>
      <w:ind w:left="1049"/>
    </w:pPr>
    <w:rPr>
      <w:rFonts w:ascii="宋体"/>
    </w:rPr>
  </w:style>
  <w:style w:type="paragraph" w:styleId="24">
    <w:name w:val="table of figures"/>
    <w:basedOn w:val="1"/>
    <w:next w:val="1"/>
    <w:semiHidden/>
    <w:qFormat/>
    <w:uiPriority w:val="0"/>
    <w:pPr>
      <w:adjustRightInd/>
      <w:spacing w:line="240" w:lineRule="auto"/>
      <w:jc w:val="left"/>
    </w:pPr>
    <w:rPr>
      <w:szCs w:val="24"/>
    </w:rPr>
  </w:style>
  <w:style w:type="paragraph" w:styleId="25">
    <w:name w:val="toc 2"/>
    <w:basedOn w:val="1"/>
    <w:next w:val="1"/>
    <w:autoRedefine/>
    <w:unhideWhenUsed/>
    <w:qFormat/>
    <w:uiPriority w:val="39"/>
    <w:pPr>
      <w:tabs>
        <w:tab w:val="right" w:leader="dot" w:pos="9344"/>
      </w:tabs>
      <w:spacing w:line="300" w:lineRule="exact"/>
      <w:ind w:left="210"/>
    </w:pPr>
    <w:rPr>
      <w:rFonts w:ascii="宋体"/>
    </w:rPr>
  </w:style>
  <w:style w:type="paragraph" w:styleId="26">
    <w:name w:val="Normal (Web)"/>
    <w:basedOn w:val="1"/>
    <w:semiHidden/>
    <w:unhideWhenUsed/>
    <w:qFormat/>
    <w:uiPriority w:val="99"/>
    <w:rPr>
      <w:sz w:val="24"/>
    </w:rPr>
  </w:style>
  <w:style w:type="paragraph" w:styleId="27">
    <w:name w:val="Title"/>
    <w:basedOn w:val="1"/>
    <w:link w:val="50"/>
    <w:autoRedefine/>
    <w:qFormat/>
    <w:uiPriority w:val="0"/>
    <w:pPr>
      <w:spacing w:before="240" w:after="60"/>
      <w:jc w:val="center"/>
      <w:outlineLvl w:val="0"/>
    </w:pPr>
    <w:rPr>
      <w:rFonts w:ascii="Arial" w:hAnsi="Arial" w:cs="Arial"/>
      <w:b/>
      <w:bCs/>
      <w:sz w:val="32"/>
      <w:szCs w:val="32"/>
    </w:rPr>
  </w:style>
  <w:style w:type="table" w:styleId="29">
    <w:name w:val="Table Grid"/>
    <w:basedOn w:val="2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autoRedefine/>
    <w:qFormat/>
    <w:uiPriority w:val="22"/>
    <w:rPr>
      <w:b/>
      <w:bCs/>
    </w:rPr>
  </w:style>
  <w:style w:type="character" w:styleId="32">
    <w:name w:val="page number"/>
    <w:qFormat/>
    <w:uiPriority w:val="0"/>
    <w:rPr>
      <w:rFonts w:ascii="宋体" w:hAnsi="Times New Roman" w:eastAsia="宋体"/>
      <w:sz w:val="18"/>
    </w:rPr>
  </w:style>
  <w:style w:type="character" w:styleId="33">
    <w:name w:val="Emphasis"/>
    <w:autoRedefine/>
    <w:qFormat/>
    <w:uiPriority w:val="20"/>
    <w:rPr>
      <w:i/>
      <w:iCs/>
    </w:rPr>
  </w:style>
  <w:style w:type="character" w:styleId="34">
    <w:name w:val="Hyperlink"/>
    <w:qFormat/>
    <w:uiPriority w:val="99"/>
    <w:rPr>
      <w:rFonts w:ascii="宋体" w:hAnsi="Times New Roman" w:eastAsia="宋体"/>
      <w:color w:val="auto"/>
      <w:spacing w:val="0"/>
      <w:w w:val="100"/>
      <w:position w:val="0"/>
      <w:sz w:val="21"/>
      <w:u w:val="none"/>
      <w:vertAlign w:val="baseline"/>
    </w:rPr>
  </w:style>
  <w:style w:type="character" w:styleId="35">
    <w:name w:val="footnote reference"/>
    <w:semiHidden/>
    <w:qFormat/>
    <w:uiPriority w:val="0"/>
    <w:rPr>
      <w:rFonts w:ascii="宋体" w:hAnsi="宋体" w:eastAsia="宋体" w:cs="Times New Roman"/>
      <w:spacing w:val="0"/>
      <w:sz w:val="18"/>
      <w:vertAlign w:val="superscript"/>
    </w:rPr>
  </w:style>
  <w:style w:type="character" w:customStyle="1" w:styleId="36">
    <w:name w:val="标题 1 Char"/>
    <w:link w:val="2"/>
    <w:qFormat/>
    <w:uiPriority w:val="0"/>
    <w:rPr>
      <w:rFonts w:ascii="Times New Roman" w:hAnsi="Times New Roman" w:eastAsia="宋体" w:cs="Times New Roman"/>
      <w:b/>
      <w:bCs/>
      <w:kern w:val="44"/>
      <w:sz w:val="44"/>
      <w:szCs w:val="44"/>
    </w:rPr>
  </w:style>
  <w:style w:type="character" w:customStyle="1" w:styleId="37">
    <w:name w:val="标题 2 Char"/>
    <w:link w:val="3"/>
    <w:qFormat/>
    <w:uiPriority w:val="0"/>
    <w:rPr>
      <w:rFonts w:ascii="Arial" w:hAnsi="Arial" w:eastAsia="黑体" w:cs="Times New Roman"/>
      <w:b/>
      <w:bCs/>
      <w:sz w:val="32"/>
      <w:szCs w:val="32"/>
    </w:rPr>
  </w:style>
  <w:style w:type="character" w:customStyle="1" w:styleId="38">
    <w:name w:val="标题 3 Char"/>
    <w:link w:val="4"/>
    <w:autoRedefine/>
    <w:qFormat/>
    <w:uiPriority w:val="0"/>
    <w:rPr>
      <w:rFonts w:ascii="Times New Roman" w:hAnsi="Times New Roman" w:eastAsia="宋体" w:cs="Times New Roman"/>
      <w:b/>
      <w:bCs/>
      <w:sz w:val="32"/>
      <w:szCs w:val="32"/>
    </w:rPr>
  </w:style>
  <w:style w:type="character" w:customStyle="1" w:styleId="39">
    <w:name w:val="标题 4 Char"/>
    <w:link w:val="5"/>
    <w:autoRedefine/>
    <w:qFormat/>
    <w:uiPriority w:val="0"/>
    <w:rPr>
      <w:rFonts w:ascii="Arial" w:hAnsi="Arial" w:eastAsia="黑体" w:cs="Times New Roman"/>
      <w:b/>
      <w:bCs/>
      <w:sz w:val="28"/>
      <w:szCs w:val="28"/>
    </w:rPr>
  </w:style>
  <w:style w:type="character" w:customStyle="1" w:styleId="40">
    <w:name w:val="标题 5 Char"/>
    <w:link w:val="6"/>
    <w:autoRedefine/>
    <w:qFormat/>
    <w:uiPriority w:val="0"/>
    <w:rPr>
      <w:rFonts w:ascii="Times New Roman" w:hAnsi="Times New Roman" w:eastAsia="宋体" w:cs="Times New Roman"/>
      <w:b/>
      <w:bCs/>
      <w:sz w:val="28"/>
      <w:szCs w:val="28"/>
    </w:rPr>
  </w:style>
  <w:style w:type="character" w:customStyle="1" w:styleId="41">
    <w:name w:val="标题 6 Char"/>
    <w:link w:val="7"/>
    <w:autoRedefine/>
    <w:qFormat/>
    <w:uiPriority w:val="0"/>
    <w:rPr>
      <w:rFonts w:ascii="Arial" w:hAnsi="Arial" w:eastAsia="黑体" w:cs="Times New Roman"/>
      <w:b/>
      <w:bCs/>
      <w:sz w:val="24"/>
      <w:szCs w:val="24"/>
    </w:rPr>
  </w:style>
  <w:style w:type="character" w:customStyle="1" w:styleId="42">
    <w:name w:val="标题 7 Char"/>
    <w:link w:val="8"/>
    <w:autoRedefine/>
    <w:qFormat/>
    <w:uiPriority w:val="0"/>
    <w:rPr>
      <w:rFonts w:ascii="Times New Roman" w:hAnsi="Times New Roman" w:eastAsia="宋体" w:cs="Times New Roman"/>
      <w:b/>
      <w:bCs/>
      <w:sz w:val="24"/>
      <w:szCs w:val="24"/>
    </w:rPr>
  </w:style>
  <w:style w:type="character" w:customStyle="1" w:styleId="43">
    <w:name w:val="标题 8 Char"/>
    <w:link w:val="9"/>
    <w:autoRedefine/>
    <w:qFormat/>
    <w:uiPriority w:val="0"/>
    <w:rPr>
      <w:rFonts w:ascii="Arial" w:hAnsi="Arial" w:eastAsia="黑体" w:cs="Times New Roman"/>
      <w:sz w:val="24"/>
      <w:szCs w:val="24"/>
    </w:rPr>
  </w:style>
  <w:style w:type="character" w:customStyle="1" w:styleId="44">
    <w:name w:val="标题 9 Char"/>
    <w:link w:val="10"/>
    <w:autoRedefine/>
    <w:qFormat/>
    <w:uiPriority w:val="0"/>
    <w:rPr>
      <w:rFonts w:ascii="Arial" w:hAnsi="Arial" w:eastAsia="黑体" w:cs="Times New Roman"/>
      <w:szCs w:val="21"/>
    </w:rPr>
  </w:style>
  <w:style w:type="character" w:customStyle="1" w:styleId="45">
    <w:name w:val="页眉 Char"/>
    <w:link w:val="19"/>
    <w:autoRedefine/>
    <w:qFormat/>
    <w:uiPriority w:val="99"/>
    <w:rPr>
      <w:rFonts w:ascii="Times New Roman" w:hAnsi="Times New Roman" w:eastAsia="宋体" w:cs="Times New Roman"/>
      <w:sz w:val="18"/>
      <w:szCs w:val="18"/>
    </w:rPr>
  </w:style>
  <w:style w:type="character" w:customStyle="1" w:styleId="46">
    <w:name w:val="页脚 Char"/>
    <w:link w:val="18"/>
    <w:autoRedefine/>
    <w:qFormat/>
    <w:uiPriority w:val="99"/>
    <w:rPr>
      <w:rFonts w:ascii="宋体" w:hAnsi="Times New Roman" w:eastAsia="宋体" w:cs="Times New Roman"/>
      <w:sz w:val="18"/>
      <w:szCs w:val="18"/>
    </w:rPr>
  </w:style>
  <w:style w:type="character" w:customStyle="1" w:styleId="47">
    <w:name w:val="批注框文本 Char"/>
    <w:link w:val="17"/>
    <w:autoRedefine/>
    <w:semiHidden/>
    <w:qFormat/>
    <w:uiPriority w:val="99"/>
    <w:rPr>
      <w:sz w:val="18"/>
      <w:szCs w:val="18"/>
    </w:rPr>
  </w:style>
  <w:style w:type="paragraph" w:styleId="48">
    <w:name w:val="Quote"/>
    <w:basedOn w:val="1"/>
    <w:next w:val="1"/>
    <w:link w:val="49"/>
    <w:autoRedefine/>
    <w:qFormat/>
    <w:uiPriority w:val="29"/>
    <w:rPr>
      <w:i/>
      <w:iCs/>
      <w:color w:val="000000"/>
    </w:rPr>
  </w:style>
  <w:style w:type="character" w:customStyle="1" w:styleId="49">
    <w:name w:val="引用 Char"/>
    <w:link w:val="48"/>
    <w:autoRedefine/>
    <w:qFormat/>
    <w:uiPriority w:val="29"/>
    <w:rPr>
      <w:i/>
      <w:iCs/>
      <w:color w:val="000000"/>
    </w:rPr>
  </w:style>
  <w:style w:type="character" w:customStyle="1" w:styleId="50">
    <w:name w:val="标题 Char"/>
    <w:link w:val="27"/>
    <w:autoRedefine/>
    <w:qFormat/>
    <w:uiPriority w:val="0"/>
    <w:rPr>
      <w:rFonts w:ascii="Arial" w:hAnsi="Arial" w:eastAsia="宋体" w:cs="Arial"/>
      <w:b/>
      <w:bCs/>
      <w:sz w:val="32"/>
      <w:szCs w:val="32"/>
    </w:rPr>
  </w:style>
  <w:style w:type="paragraph" w:customStyle="1" w:styleId="51">
    <w:name w:val="标准标志"/>
    <w:next w:val="1"/>
    <w:autoRedefine/>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2">
    <w:name w:val="标准称谓"/>
    <w:next w:val="1"/>
    <w:autoRedefine/>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3">
    <w:name w:val="标准文件_页脚偶数页"/>
    <w:autoRedefine/>
    <w:qFormat/>
    <w:uiPriority w:val="0"/>
    <w:pPr>
      <w:ind w:left="198"/>
    </w:pPr>
    <w:rPr>
      <w:rFonts w:ascii="宋体" w:hAnsi="Times New Roman" w:eastAsia="宋体" w:cs="Times New Roman"/>
      <w:sz w:val="18"/>
      <w:lang w:val="en-US" w:eastAsia="zh-CN" w:bidi="ar-SA"/>
    </w:rPr>
  </w:style>
  <w:style w:type="paragraph" w:customStyle="1" w:styleId="54">
    <w:name w:val="标准文件_页脚奇数页"/>
    <w:autoRedefine/>
    <w:qFormat/>
    <w:uiPriority w:val="0"/>
    <w:pPr>
      <w:ind w:right="227"/>
      <w:jc w:val="right"/>
    </w:pPr>
    <w:rPr>
      <w:rFonts w:ascii="宋体" w:hAnsi="Times New Roman" w:eastAsia="宋体" w:cs="Times New Roman"/>
      <w:sz w:val="18"/>
      <w:lang w:val="en-US" w:eastAsia="zh-CN" w:bidi="ar-SA"/>
    </w:rPr>
  </w:style>
  <w:style w:type="paragraph" w:customStyle="1" w:styleId="55">
    <w:name w:val="标准书眉一"/>
    <w:qFormat/>
    <w:uiPriority w:val="0"/>
    <w:pPr>
      <w:jc w:val="both"/>
    </w:pPr>
    <w:rPr>
      <w:rFonts w:ascii="Times New Roman" w:hAnsi="Times New Roman" w:eastAsia="宋体" w:cs="Times New Roman"/>
      <w:lang w:val="en-US" w:eastAsia="zh-CN" w:bidi="ar-SA"/>
    </w:rPr>
  </w:style>
  <w:style w:type="paragraph" w:customStyle="1" w:styleId="56">
    <w:name w:val="标准文件_ICS"/>
    <w:basedOn w:val="1"/>
    <w:autoRedefine/>
    <w:qFormat/>
    <w:uiPriority w:val="0"/>
    <w:pPr>
      <w:spacing w:line="0" w:lineRule="atLeast"/>
    </w:pPr>
    <w:rPr>
      <w:rFonts w:ascii="黑体" w:hAnsi="宋体" w:eastAsia="黑体"/>
    </w:rPr>
  </w:style>
  <w:style w:type="paragraph" w:customStyle="1" w:styleId="57">
    <w:name w:val="标准文件_标准正文"/>
    <w:basedOn w:val="1"/>
    <w:next w:val="58"/>
    <w:autoRedefine/>
    <w:qFormat/>
    <w:uiPriority w:val="0"/>
    <w:pPr>
      <w:snapToGrid w:val="0"/>
      <w:ind w:firstLine="200" w:firstLineChars="200"/>
    </w:pPr>
    <w:rPr>
      <w:kern w:val="0"/>
    </w:rPr>
  </w:style>
  <w:style w:type="paragraph" w:customStyle="1" w:styleId="58">
    <w:name w:val="标准文件_段"/>
    <w:link w:val="186"/>
    <w:autoRedefine/>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9">
    <w:name w:val="标准文件_版本"/>
    <w:basedOn w:val="57"/>
    <w:autoRedefine/>
    <w:qFormat/>
    <w:uiPriority w:val="0"/>
    <w:pPr>
      <w:adjustRightInd/>
      <w:snapToGrid/>
      <w:ind w:firstLine="0" w:firstLineChars="0"/>
    </w:pPr>
    <w:rPr>
      <w:rFonts w:ascii="宋体" w:hAnsi="宋体"/>
      <w:kern w:val="2"/>
    </w:rPr>
  </w:style>
  <w:style w:type="paragraph" w:customStyle="1" w:styleId="60">
    <w:name w:val="标准文件_标准部门"/>
    <w:basedOn w:val="1"/>
    <w:autoRedefine/>
    <w:qFormat/>
    <w:uiPriority w:val="0"/>
    <w:pPr>
      <w:jc w:val="center"/>
    </w:pPr>
    <w:rPr>
      <w:rFonts w:ascii="黑体" w:eastAsia="黑体"/>
      <w:kern w:val="0"/>
      <w:sz w:val="44"/>
    </w:rPr>
  </w:style>
  <w:style w:type="paragraph" w:customStyle="1" w:styleId="61">
    <w:name w:val="标准文件_标准代替"/>
    <w:basedOn w:val="1"/>
    <w:next w:val="1"/>
    <w:autoRedefine/>
    <w:qFormat/>
    <w:uiPriority w:val="0"/>
    <w:pPr>
      <w:spacing w:line="310" w:lineRule="exact"/>
      <w:jc w:val="right"/>
    </w:pPr>
    <w:rPr>
      <w:rFonts w:ascii="宋体" w:hAnsi="宋体"/>
      <w:kern w:val="0"/>
    </w:rPr>
  </w:style>
  <w:style w:type="paragraph" w:customStyle="1" w:styleId="62">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3">
    <w:name w:val="标准文件_页眉奇数页"/>
    <w:next w:val="1"/>
    <w:autoRedefine/>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4">
    <w:name w:val="标准文件_页眉偶数页"/>
    <w:basedOn w:val="63"/>
    <w:next w:val="1"/>
    <w:autoRedefine/>
    <w:qFormat/>
    <w:uiPriority w:val="0"/>
    <w:pPr>
      <w:jc w:val="left"/>
    </w:pPr>
  </w:style>
  <w:style w:type="paragraph" w:customStyle="1" w:styleId="65">
    <w:name w:val="标准文件_参考文献标题"/>
    <w:basedOn w:val="1"/>
    <w:next w:val="1"/>
    <w:autoRedefine/>
    <w:qFormat/>
    <w:uiPriority w:val="0"/>
    <w:pPr>
      <w:widowControl/>
      <w:shd w:val="clear" w:color="FFFFFF" w:fill="FFFFFF"/>
      <w:adjustRightInd/>
      <w:spacing w:before="40" w:beforeLines="40" w:after="50" w:afterLines="50" w:line="240" w:lineRule="auto"/>
      <w:jc w:val="center"/>
      <w:outlineLvl w:val="0"/>
    </w:pPr>
    <w:rPr>
      <w:rFonts w:ascii="黑体" w:eastAsia="黑体"/>
      <w:kern w:val="0"/>
    </w:rPr>
  </w:style>
  <w:style w:type="paragraph" w:customStyle="1" w:styleId="66">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7">
    <w:name w:val="标准文件_二级条标题"/>
    <w:next w:val="58"/>
    <w:autoRedefine/>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8">
    <w:name w:val="标准文件_发布"/>
    <w:autoRedefine/>
    <w:qFormat/>
    <w:uiPriority w:val="0"/>
    <w:rPr>
      <w:rFonts w:ascii="黑体" w:eastAsia="黑体"/>
      <w:spacing w:val="0"/>
      <w:w w:val="100"/>
      <w:position w:val="3"/>
      <w:sz w:val="28"/>
    </w:rPr>
  </w:style>
  <w:style w:type="paragraph" w:customStyle="1" w:styleId="69">
    <w:name w:val="标准文件_方框数字列项"/>
    <w:basedOn w:val="58"/>
    <w:autoRedefine/>
    <w:qFormat/>
    <w:uiPriority w:val="0"/>
    <w:pPr>
      <w:numPr>
        <w:ilvl w:val="0"/>
        <w:numId w:val="3"/>
      </w:numPr>
      <w:ind w:firstLine="0" w:firstLineChars="0"/>
    </w:pPr>
  </w:style>
  <w:style w:type="paragraph" w:customStyle="1" w:styleId="70">
    <w:name w:val="标准文件_封面标准编号"/>
    <w:basedOn w:val="1"/>
    <w:next w:val="61"/>
    <w:autoRedefine/>
    <w:qFormat/>
    <w:uiPriority w:val="0"/>
    <w:pPr>
      <w:spacing w:line="310" w:lineRule="exact"/>
      <w:jc w:val="right"/>
    </w:pPr>
    <w:rPr>
      <w:rFonts w:ascii="黑体" w:eastAsia="黑体"/>
      <w:kern w:val="0"/>
      <w:sz w:val="28"/>
    </w:rPr>
  </w:style>
  <w:style w:type="paragraph" w:customStyle="1" w:styleId="71">
    <w:name w:val="标准文件_封面标准分类号"/>
    <w:basedOn w:val="1"/>
    <w:autoRedefine/>
    <w:qFormat/>
    <w:uiPriority w:val="0"/>
    <w:rPr>
      <w:rFonts w:ascii="黑体" w:eastAsia="黑体"/>
      <w:b/>
      <w:kern w:val="0"/>
      <w:sz w:val="28"/>
    </w:rPr>
  </w:style>
  <w:style w:type="paragraph" w:customStyle="1" w:styleId="72">
    <w:name w:val="标准文件_封面标准名称"/>
    <w:basedOn w:val="1"/>
    <w:autoRedefine/>
    <w:qFormat/>
    <w:uiPriority w:val="0"/>
    <w:pPr>
      <w:spacing w:line="240" w:lineRule="auto"/>
      <w:jc w:val="center"/>
    </w:pPr>
    <w:rPr>
      <w:rFonts w:ascii="黑体" w:eastAsia="黑体"/>
      <w:kern w:val="0"/>
      <w:sz w:val="52"/>
    </w:rPr>
  </w:style>
  <w:style w:type="paragraph" w:customStyle="1" w:styleId="73">
    <w:name w:val="标准文件_封面标准英文名称"/>
    <w:basedOn w:val="1"/>
    <w:autoRedefine/>
    <w:qFormat/>
    <w:uiPriority w:val="0"/>
    <w:pPr>
      <w:spacing w:line="240" w:lineRule="auto"/>
      <w:jc w:val="center"/>
    </w:pPr>
    <w:rPr>
      <w:rFonts w:ascii="黑体" w:eastAsia="黑体"/>
      <w:b/>
      <w:sz w:val="28"/>
    </w:rPr>
  </w:style>
  <w:style w:type="paragraph" w:customStyle="1" w:styleId="74">
    <w:name w:val="标准文件_封面发布日期"/>
    <w:basedOn w:val="1"/>
    <w:autoRedefine/>
    <w:qFormat/>
    <w:uiPriority w:val="0"/>
    <w:pPr>
      <w:spacing w:line="310" w:lineRule="exact"/>
    </w:pPr>
    <w:rPr>
      <w:rFonts w:ascii="黑体" w:eastAsia="黑体"/>
      <w:kern w:val="0"/>
      <w:sz w:val="28"/>
    </w:rPr>
  </w:style>
  <w:style w:type="paragraph" w:customStyle="1" w:styleId="75">
    <w:name w:val="标准文件_封面密级"/>
    <w:basedOn w:val="1"/>
    <w:autoRedefine/>
    <w:qFormat/>
    <w:uiPriority w:val="0"/>
    <w:rPr>
      <w:rFonts w:eastAsia="黑体"/>
      <w:sz w:val="32"/>
    </w:rPr>
  </w:style>
  <w:style w:type="paragraph" w:customStyle="1" w:styleId="76">
    <w:name w:val="标准文件_封面实施日期"/>
    <w:basedOn w:val="1"/>
    <w:autoRedefine/>
    <w:qFormat/>
    <w:uiPriority w:val="0"/>
    <w:pPr>
      <w:spacing w:line="310" w:lineRule="exact"/>
      <w:jc w:val="right"/>
    </w:pPr>
    <w:rPr>
      <w:rFonts w:ascii="黑体" w:eastAsia="黑体"/>
      <w:sz w:val="28"/>
    </w:rPr>
  </w:style>
  <w:style w:type="paragraph" w:customStyle="1" w:styleId="77">
    <w:name w:val="标准文件_封面抬头"/>
    <w:basedOn w:val="58"/>
    <w:qFormat/>
    <w:uiPriority w:val="0"/>
    <w:pPr>
      <w:adjustRightInd w:val="0"/>
      <w:spacing w:line="800" w:lineRule="exact"/>
      <w:ind w:firstLine="0" w:firstLineChars="0"/>
      <w:jc w:val="distribute"/>
    </w:pPr>
    <w:rPr>
      <w:rFonts w:ascii="黑体" w:eastAsia="黑体"/>
      <w:b/>
      <w:sz w:val="64"/>
    </w:rPr>
  </w:style>
  <w:style w:type="paragraph" w:customStyle="1" w:styleId="78">
    <w:name w:val="标准文件_附录标识"/>
    <w:next w:val="58"/>
    <w:autoRedefine/>
    <w:qFormat/>
    <w:uiPriority w:val="0"/>
    <w:pPr>
      <w:numPr>
        <w:ilvl w:val="0"/>
        <w:numId w:val="4"/>
      </w:numPr>
      <w:shd w:val="clear" w:color="FFFFFF" w:fill="FFFFFF"/>
      <w:tabs>
        <w:tab w:val="left" w:pos="6406"/>
      </w:tabs>
      <w:spacing w:before="25" w:beforeLines="25" w:after="50" w:afterLines="50"/>
      <w:jc w:val="center"/>
      <w:outlineLvl w:val="0"/>
    </w:pPr>
    <w:rPr>
      <w:rFonts w:ascii="黑体" w:hAnsi="Times New Roman" w:eastAsia="黑体" w:cs="Times New Roman"/>
      <w:sz w:val="21"/>
      <w:lang w:val="en-US" w:eastAsia="zh-CN" w:bidi="ar-SA"/>
    </w:rPr>
  </w:style>
  <w:style w:type="paragraph" w:customStyle="1" w:styleId="79">
    <w:name w:val="标准文件_附录表标题"/>
    <w:next w:val="58"/>
    <w:autoRedefine/>
    <w:qFormat/>
    <w:uiPriority w:val="0"/>
    <w:pPr>
      <w:numPr>
        <w:ilvl w:val="1"/>
        <w:numId w:val="5"/>
      </w:numPr>
      <w:adjustRightInd w:val="0"/>
      <w:snapToGrid w:val="0"/>
      <w:spacing w:before="50" w:beforeLines="50" w:after="50" w:afterLines="50"/>
      <w:ind w:firstLine="420"/>
      <w:jc w:val="center"/>
      <w:textAlignment w:val="baseline"/>
    </w:pPr>
    <w:rPr>
      <w:rFonts w:ascii="黑体" w:hAnsi="Times New Roman" w:eastAsia="黑体" w:cs="Times New Roman"/>
      <w:kern w:val="21"/>
      <w:sz w:val="21"/>
      <w:lang w:val="en-US" w:eastAsia="zh-CN" w:bidi="ar-SA"/>
    </w:rPr>
  </w:style>
  <w:style w:type="paragraph" w:customStyle="1" w:styleId="80">
    <w:name w:val="标准文件_附录一级条标题"/>
    <w:next w:val="58"/>
    <w:autoRedefine/>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1">
    <w:name w:val="标准文件_附录二级条标题"/>
    <w:basedOn w:val="80"/>
    <w:next w:val="58"/>
    <w:autoRedefine/>
    <w:qFormat/>
    <w:uiPriority w:val="0"/>
    <w:pPr>
      <w:widowControl/>
      <w:numPr>
        <w:ilvl w:val="2"/>
      </w:numPr>
      <w:wordWrap w:val="0"/>
      <w:overflowPunct w:val="0"/>
      <w:autoSpaceDE w:val="0"/>
      <w:autoSpaceDN w:val="0"/>
      <w:textAlignment w:val="baseline"/>
      <w:outlineLvl w:val="3"/>
    </w:pPr>
  </w:style>
  <w:style w:type="paragraph" w:customStyle="1" w:styleId="82">
    <w:name w:val="标准文件_附录公式"/>
    <w:basedOn w:val="57"/>
    <w:next w:val="57"/>
    <w:autoRedefine/>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3">
    <w:name w:val="标准文件_附录三级条标题"/>
    <w:next w:val="58"/>
    <w:autoRedefine/>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4">
    <w:name w:val="标准文件_附录四级条标题"/>
    <w:next w:val="58"/>
    <w:autoRedefine/>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5">
    <w:name w:val="标准文件_附录图标题"/>
    <w:next w:val="58"/>
    <w:autoRedefine/>
    <w:qFormat/>
    <w:uiPriority w:val="0"/>
    <w:pPr>
      <w:numPr>
        <w:ilvl w:val="1"/>
        <w:numId w:val="6"/>
      </w:numPr>
      <w:adjustRightInd w:val="0"/>
      <w:snapToGrid w:val="0"/>
      <w:spacing w:before="50" w:beforeLines="50" w:after="50" w:afterLines="50"/>
      <w:ind w:firstLine="420"/>
      <w:jc w:val="center"/>
    </w:pPr>
    <w:rPr>
      <w:rFonts w:ascii="黑体" w:hAnsi="Times New Roman" w:eastAsia="黑体" w:cs="Times New Roman"/>
      <w:sz w:val="21"/>
      <w:lang w:val="en-US" w:eastAsia="zh-CN" w:bidi="ar-SA"/>
    </w:rPr>
  </w:style>
  <w:style w:type="paragraph" w:customStyle="1" w:styleId="86">
    <w:name w:val="标准文件_附录五级条标题"/>
    <w:next w:val="58"/>
    <w:autoRedefine/>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7">
    <w:name w:val="标准文件_附录英文标识"/>
    <w:next w:val="14"/>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8">
    <w:name w:val="正文文本 Char"/>
    <w:link w:val="14"/>
    <w:autoRedefine/>
    <w:qFormat/>
    <w:uiPriority w:val="99"/>
    <w:rPr>
      <w:rFonts w:ascii="Times New Roman" w:hAnsi="Times New Roman" w:eastAsia="宋体" w:cs="Times New Roman"/>
      <w:szCs w:val="20"/>
    </w:rPr>
  </w:style>
  <w:style w:type="paragraph" w:customStyle="1" w:styleId="89">
    <w:name w:val="标准文件_附录章标题"/>
    <w:next w:val="58"/>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90">
    <w:name w:val="标准文件_公式后的破折号"/>
    <w:basedOn w:val="58"/>
    <w:next w:val="58"/>
    <w:autoRedefine/>
    <w:qFormat/>
    <w:uiPriority w:val="0"/>
    <w:pPr>
      <w:ind w:left="488" w:leftChars="200" w:hanging="289" w:hangingChars="290"/>
    </w:pPr>
  </w:style>
  <w:style w:type="paragraph" w:customStyle="1" w:styleId="91">
    <w:name w:val="标准文件_前言、引言标题"/>
    <w:next w:val="1"/>
    <w:qFormat/>
    <w:uiPriority w:val="0"/>
    <w:pPr>
      <w:numPr>
        <w:ilvl w:val="0"/>
        <w:numId w:val="8"/>
      </w:numPr>
      <w:shd w:val="clear" w:color="FFFFFF" w:fill="FFFFFF"/>
      <w:spacing w:after="150" w:afterLines="150"/>
      <w:ind w:left="0" w:firstLine="0"/>
      <w:jc w:val="center"/>
      <w:outlineLvl w:val="0"/>
    </w:pPr>
    <w:rPr>
      <w:rFonts w:ascii="黑体" w:hAnsi="Times New Roman" w:eastAsia="黑体" w:cs="Times New Roman"/>
      <w:sz w:val="32"/>
      <w:lang w:val="en-US" w:eastAsia="zh-CN" w:bidi="ar-SA"/>
    </w:rPr>
  </w:style>
  <w:style w:type="paragraph" w:customStyle="1" w:styleId="92">
    <w:name w:val="标准文件_目次、标准名称标题"/>
    <w:basedOn w:val="91"/>
    <w:next w:val="58"/>
    <w:autoRedefine/>
    <w:qFormat/>
    <w:uiPriority w:val="0"/>
    <w:pPr>
      <w:spacing w:line="460" w:lineRule="exact"/>
    </w:pPr>
  </w:style>
  <w:style w:type="paragraph" w:customStyle="1" w:styleId="93">
    <w:name w:val="标准文件_目录标题"/>
    <w:basedOn w:val="1"/>
    <w:autoRedefine/>
    <w:qFormat/>
    <w:uiPriority w:val="0"/>
    <w:pPr>
      <w:spacing w:after="150" w:afterLines="150" w:line="240" w:lineRule="auto"/>
      <w:jc w:val="center"/>
    </w:pPr>
    <w:rPr>
      <w:rFonts w:ascii="黑体" w:eastAsia="黑体"/>
      <w:sz w:val="32"/>
    </w:rPr>
  </w:style>
  <w:style w:type="paragraph" w:customStyle="1" w:styleId="94">
    <w:name w:val="标准文件_破折号列项"/>
    <w:autoRedefine/>
    <w:qFormat/>
    <w:uiPriority w:val="0"/>
    <w:pPr>
      <w:numPr>
        <w:ilvl w:val="0"/>
        <w:numId w:val="9"/>
      </w:numPr>
      <w:adjustRightInd w:val="0"/>
      <w:snapToGrid w:val="0"/>
      <w:ind w:left="0" w:firstLine="200" w:firstLineChars="200"/>
    </w:pPr>
    <w:rPr>
      <w:rFonts w:ascii="Times New Roman" w:hAnsi="Times New Roman" w:eastAsia="宋体" w:cs="Times New Roman"/>
      <w:sz w:val="21"/>
      <w:lang w:val="en-US" w:eastAsia="zh-CN" w:bidi="ar-SA"/>
    </w:rPr>
  </w:style>
  <w:style w:type="paragraph" w:customStyle="1" w:styleId="95">
    <w:name w:val="标准文件_破折号列项（二级）"/>
    <w:basedOn w:val="94"/>
    <w:autoRedefine/>
    <w:qFormat/>
    <w:uiPriority w:val="0"/>
    <w:pPr>
      <w:numPr>
        <w:numId w:val="10"/>
      </w:numPr>
      <w:ind w:left="0" w:firstLine="200"/>
    </w:pPr>
  </w:style>
  <w:style w:type="paragraph" w:customStyle="1" w:styleId="96">
    <w:name w:val="标准文件_三级条标题"/>
    <w:basedOn w:val="67"/>
    <w:next w:val="58"/>
    <w:autoRedefine/>
    <w:qFormat/>
    <w:uiPriority w:val="0"/>
    <w:pPr>
      <w:widowControl/>
      <w:numPr>
        <w:ilvl w:val="4"/>
      </w:numPr>
      <w:outlineLvl w:val="3"/>
    </w:pPr>
  </w:style>
  <w:style w:type="character" w:customStyle="1" w:styleId="97">
    <w:name w:val="不明显参考1"/>
    <w:autoRedefine/>
    <w:qFormat/>
    <w:uiPriority w:val="31"/>
    <w:rPr>
      <w:smallCaps/>
      <w:color w:val="C0504D"/>
      <w:u w:val="single"/>
    </w:rPr>
  </w:style>
  <w:style w:type="paragraph" w:customStyle="1" w:styleId="98">
    <w:name w:val="标准文件_示例后续"/>
    <w:basedOn w:val="1"/>
    <w:autoRedefine/>
    <w:qFormat/>
    <w:uiPriority w:val="0"/>
    <w:pPr>
      <w:adjustRightInd/>
      <w:spacing w:line="240" w:lineRule="auto"/>
      <w:ind w:firstLine="200" w:firstLineChars="200"/>
    </w:pPr>
    <w:rPr>
      <w:sz w:val="18"/>
      <w:szCs w:val="24"/>
    </w:rPr>
  </w:style>
  <w:style w:type="paragraph" w:customStyle="1" w:styleId="99">
    <w:name w:val="标准文件_数字编号列项"/>
    <w:autoRedefine/>
    <w:qFormat/>
    <w:uiPriority w:val="0"/>
    <w:pPr>
      <w:numPr>
        <w:ilvl w:val="0"/>
        <w:numId w:val="11"/>
      </w:numPr>
      <w:jc w:val="both"/>
    </w:pPr>
    <w:rPr>
      <w:rFonts w:ascii="宋体" w:hAnsi="宋体" w:eastAsia="宋体" w:cs="Times New Roman"/>
      <w:sz w:val="21"/>
      <w:lang w:val="en-US" w:eastAsia="zh-CN" w:bidi="ar-SA"/>
    </w:rPr>
  </w:style>
  <w:style w:type="paragraph" w:customStyle="1" w:styleId="100">
    <w:name w:val="标准文件_四级条标题"/>
    <w:next w:val="58"/>
    <w:autoRedefine/>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1">
    <w:name w:val="脚注文本 Char"/>
    <w:link w:val="22"/>
    <w:semiHidden/>
    <w:qFormat/>
    <w:uiPriority w:val="0"/>
    <w:rPr>
      <w:rFonts w:ascii="宋体" w:hAnsi="Times New Roman" w:eastAsia="宋体" w:cs="Times New Roman"/>
      <w:sz w:val="18"/>
      <w:szCs w:val="18"/>
    </w:rPr>
  </w:style>
  <w:style w:type="paragraph" w:customStyle="1" w:styleId="102">
    <w:name w:val="标准文件_条文脚注"/>
    <w:basedOn w:val="22"/>
    <w:qFormat/>
    <w:uiPriority w:val="0"/>
    <w:pPr>
      <w:adjustRightInd w:val="0"/>
      <w:spacing w:line="240" w:lineRule="auto"/>
      <w:ind w:left="0" w:leftChars="0" w:firstLine="200" w:firstLineChars="200"/>
      <w:jc w:val="both"/>
    </w:pPr>
    <w:rPr>
      <w:rFonts w:hAnsi="宋体"/>
    </w:rPr>
  </w:style>
  <w:style w:type="paragraph" w:customStyle="1" w:styleId="103">
    <w:name w:val="标准文件_图表脚注"/>
    <w:basedOn w:val="1"/>
    <w:next w:val="58"/>
    <w:qFormat/>
    <w:uiPriority w:val="0"/>
    <w:pPr>
      <w:numPr>
        <w:ilvl w:val="0"/>
        <w:numId w:val="12"/>
      </w:numPr>
      <w:spacing w:line="240" w:lineRule="auto"/>
      <w:jc w:val="left"/>
    </w:pPr>
    <w:rPr>
      <w:rFonts w:ascii="宋体" w:hAnsi="宋体"/>
      <w:sz w:val="18"/>
    </w:rPr>
  </w:style>
  <w:style w:type="character" w:customStyle="1" w:styleId="104">
    <w:name w:val="标准文件_图表脚注内容"/>
    <w:autoRedefine/>
    <w:qFormat/>
    <w:uiPriority w:val="0"/>
    <w:rPr>
      <w:rFonts w:ascii="宋体" w:hAnsi="宋体" w:eastAsia="宋体" w:cs="Times New Roman"/>
      <w:spacing w:val="0"/>
      <w:sz w:val="18"/>
      <w:vertAlign w:val="superscript"/>
    </w:rPr>
  </w:style>
  <w:style w:type="paragraph" w:customStyle="1" w:styleId="105">
    <w:name w:val="标准文件_五级条标题"/>
    <w:next w:val="58"/>
    <w:autoRedefine/>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6">
    <w:name w:val="标准文件_章标题"/>
    <w:next w:val="58"/>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7">
    <w:name w:val="标准文件_一级条标题"/>
    <w:basedOn w:val="106"/>
    <w:next w:val="58"/>
    <w:autoRedefine/>
    <w:qFormat/>
    <w:uiPriority w:val="0"/>
    <w:pPr>
      <w:numPr>
        <w:ilvl w:val="2"/>
      </w:numPr>
      <w:spacing w:before="50" w:beforeLines="50" w:after="50" w:afterLines="50"/>
      <w:outlineLvl w:val="1"/>
    </w:pPr>
  </w:style>
  <w:style w:type="paragraph" w:customStyle="1" w:styleId="108">
    <w:name w:val="标准文件_一致程度"/>
    <w:basedOn w:val="1"/>
    <w:autoRedefine/>
    <w:qFormat/>
    <w:uiPriority w:val="0"/>
    <w:pPr>
      <w:spacing w:line="440" w:lineRule="exact"/>
      <w:jc w:val="center"/>
    </w:pPr>
    <w:rPr>
      <w:sz w:val="28"/>
    </w:rPr>
  </w:style>
  <w:style w:type="paragraph" w:customStyle="1" w:styleId="109">
    <w:name w:val="标准文件_引言标题"/>
    <w:next w:val="1"/>
    <w:autoRedefine/>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10">
    <w:name w:val="标准文件_英文图表脚注"/>
    <w:basedOn w:val="57"/>
    <w:qFormat/>
    <w:uiPriority w:val="0"/>
    <w:pPr>
      <w:widowControl/>
      <w:adjustRightInd/>
      <w:snapToGrid/>
      <w:spacing w:line="240" w:lineRule="auto"/>
      <w:ind w:left="79" w:hanging="79" w:hangingChars="80"/>
    </w:pPr>
    <w:rPr>
      <w:rFonts w:ascii="宋体" w:hAnsi="宋体"/>
    </w:rPr>
  </w:style>
  <w:style w:type="paragraph" w:customStyle="1" w:styleId="111">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2">
    <w:name w:val="标准文件_英文注："/>
    <w:basedOn w:val="1"/>
    <w:next w:val="58"/>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3">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4">
    <w:name w:val="标准文件_正文表标题"/>
    <w:next w:val="58"/>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公式"/>
    <w:basedOn w:val="1"/>
    <w:next w:val="57"/>
    <w:autoRedefine/>
    <w:qFormat/>
    <w:uiPriority w:val="0"/>
    <w:pPr>
      <w:tabs>
        <w:tab w:val="center" w:pos="4678"/>
        <w:tab w:val="right" w:leader="middleDot" w:pos="9356"/>
      </w:tabs>
      <w:spacing w:line="240" w:lineRule="auto"/>
    </w:pPr>
    <w:rPr>
      <w:rFonts w:ascii="宋体" w:hAnsi="宋体"/>
    </w:rPr>
  </w:style>
  <w:style w:type="paragraph" w:customStyle="1" w:styleId="116">
    <w:name w:val="标准文件_正文图标题"/>
    <w:next w:val="58"/>
    <w:autoRedefine/>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7">
    <w:name w:val="标准文件_正文英文表标题"/>
    <w:next w:val="58"/>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8">
    <w:name w:val="标准文件_正文英文图标题"/>
    <w:next w:val="58"/>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9">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20">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1">
    <w:name w:val="发布部门"/>
    <w:next w:val="58"/>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2">
    <w:name w:val="发布日期"/>
    <w:autoRedefine/>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3">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4">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5">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6">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7">
    <w:name w:val="封面标准英文名称"/>
    <w:autoRedefine/>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8">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9">
    <w:name w:val="封面正文"/>
    <w:qFormat/>
    <w:uiPriority w:val="0"/>
    <w:pPr>
      <w:jc w:val="both"/>
    </w:pPr>
    <w:rPr>
      <w:rFonts w:ascii="Times New Roman" w:hAnsi="Times New Roman" w:eastAsia="宋体" w:cs="Times New Roman"/>
      <w:lang w:val="en-US" w:eastAsia="zh-CN" w:bidi="ar-SA"/>
    </w:rPr>
  </w:style>
  <w:style w:type="paragraph" w:customStyle="1" w:styleId="130">
    <w:name w:val="附录二级无标题条"/>
    <w:basedOn w:val="1"/>
    <w:next w:val="58"/>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1">
    <w:name w:val="附录三级无标题条"/>
    <w:basedOn w:val="130"/>
    <w:next w:val="58"/>
    <w:qFormat/>
    <w:uiPriority w:val="0"/>
    <w:pPr>
      <w:outlineLvl w:val="4"/>
    </w:pPr>
  </w:style>
  <w:style w:type="paragraph" w:customStyle="1" w:styleId="132">
    <w:name w:val="附录四级无标题条"/>
    <w:basedOn w:val="131"/>
    <w:next w:val="58"/>
    <w:qFormat/>
    <w:uiPriority w:val="0"/>
    <w:pPr>
      <w:outlineLvl w:val="5"/>
    </w:pPr>
  </w:style>
  <w:style w:type="paragraph" w:customStyle="1" w:styleId="133">
    <w:name w:val="附录图"/>
    <w:next w:val="58"/>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4">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5">
    <w:name w:val="附录五级无标题条"/>
    <w:basedOn w:val="132"/>
    <w:next w:val="58"/>
    <w:qFormat/>
    <w:uiPriority w:val="0"/>
    <w:pPr>
      <w:outlineLvl w:val="6"/>
    </w:pPr>
  </w:style>
  <w:style w:type="paragraph" w:customStyle="1" w:styleId="136">
    <w:name w:val="附录性质"/>
    <w:basedOn w:val="1"/>
    <w:qFormat/>
    <w:uiPriority w:val="0"/>
    <w:pPr>
      <w:widowControl/>
      <w:adjustRightInd/>
      <w:jc w:val="center"/>
    </w:pPr>
    <w:rPr>
      <w:rFonts w:ascii="黑体" w:eastAsia="黑体"/>
    </w:rPr>
  </w:style>
  <w:style w:type="paragraph" w:customStyle="1" w:styleId="137">
    <w:name w:val="附录一级无标题条"/>
    <w:basedOn w:val="89"/>
    <w:next w:val="58"/>
    <w:qFormat/>
    <w:uiPriority w:val="0"/>
    <w:pPr>
      <w:autoSpaceDN w:val="0"/>
      <w:outlineLvl w:val="2"/>
    </w:pPr>
    <w:rPr>
      <w:rFonts w:ascii="宋体" w:hAnsi="宋体" w:eastAsia="宋体"/>
    </w:rPr>
  </w:style>
  <w:style w:type="character" w:customStyle="1" w:styleId="138">
    <w:name w:val="个人答复风格"/>
    <w:qFormat/>
    <w:uiPriority w:val="0"/>
    <w:rPr>
      <w:rFonts w:ascii="Arial" w:hAnsi="Arial" w:eastAsia="宋体" w:cs="Arial"/>
      <w:color w:val="auto"/>
      <w:spacing w:val="0"/>
      <w:sz w:val="20"/>
    </w:rPr>
  </w:style>
  <w:style w:type="character" w:customStyle="1" w:styleId="139">
    <w:name w:val="个人撰写风格"/>
    <w:qFormat/>
    <w:uiPriority w:val="0"/>
    <w:rPr>
      <w:rFonts w:ascii="Arial" w:hAnsi="Arial" w:eastAsia="宋体" w:cs="Arial"/>
      <w:color w:val="auto"/>
      <w:spacing w:val="0"/>
      <w:sz w:val="20"/>
    </w:rPr>
  </w:style>
  <w:style w:type="paragraph" w:customStyle="1" w:styleId="140">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1">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2">
    <w:name w:val="列项·"/>
    <w:basedOn w:val="58"/>
    <w:qFormat/>
    <w:uiPriority w:val="0"/>
    <w:pPr>
      <w:tabs>
        <w:tab w:val="left" w:pos="840"/>
      </w:tabs>
    </w:pPr>
  </w:style>
  <w:style w:type="paragraph" w:customStyle="1" w:styleId="143">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4">
    <w:name w:val="目录 21"/>
    <w:basedOn w:val="1"/>
    <w:next w:val="1"/>
    <w:autoRedefine/>
    <w:semiHidden/>
    <w:qFormat/>
    <w:uiPriority w:val="0"/>
    <w:pPr>
      <w:adjustRightInd/>
      <w:spacing w:line="240" w:lineRule="auto"/>
      <w:jc w:val="left"/>
    </w:pPr>
    <w:rPr>
      <w:bCs/>
      <w:iCs/>
    </w:rPr>
  </w:style>
  <w:style w:type="paragraph" w:customStyle="1" w:styleId="145">
    <w:name w:val="目录 31"/>
    <w:basedOn w:val="1"/>
    <w:next w:val="1"/>
    <w:autoRedefine/>
    <w:semiHidden/>
    <w:qFormat/>
    <w:uiPriority w:val="0"/>
    <w:pPr>
      <w:spacing w:line="240" w:lineRule="auto"/>
    </w:pPr>
    <w:rPr>
      <w:rFonts w:ascii="宋体" w:hAnsi="宋体"/>
      <w:iCs/>
    </w:rPr>
  </w:style>
  <w:style w:type="paragraph" w:customStyle="1" w:styleId="146">
    <w:name w:val="目录 41"/>
    <w:basedOn w:val="1"/>
    <w:next w:val="1"/>
    <w:autoRedefine/>
    <w:semiHidden/>
    <w:qFormat/>
    <w:uiPriority w:val="0"/>
    <w:pPr>
      <w:adjustRightInd/>
      <w:spacing w:line="240" w:lineRule="auto"/>
      <w:jc w:val="left"/>
    </w:pPr>
  </w:style>
  <w:style w:type="paragraph" w:customStyle="1" w:styleId="147">
    <w:name w:val="目录 51"/>
    <w:basedOn w:val="1"/>
    <w:next w:val="1"/>
    <w:autoRedefine/>
    <w:semiHidden/>
    <w:qFormat/>
    <w:uiPriority w:val="0"/>
    <w:pPr>
      <w:spacing w:line="240" w:lineRule="auto"/>
    </w:pPr>
    <w:rPr>
      <w:rFonts w:ascii="宋体" w:hAnsi="宋体"/>
    </w:rPr>
  </w:style>
  <w:style w:type="paragraph" w:customStyle="1" w:styleId="148">
    <w:name w:val="目录 61"/>
    <w:basedOn w:val="1"/>
    <w:next w:val="1"/>
    <w:autoRedefine/>
    <w:semiHidden/>
    <w:qFormat/>
    <w:uiPriority w:val="0"/>
    <w:pPr>
      <w:adjustRightInd/>
      <w:spacing w:line="240" w:lineRule="auto"/>
      <w:jc w:val="left"/>
    </w:pPr>
  </w:style>
  <w:style w:type="paragraph" w:customStyle="1" w:styleId="149">
    <w:name w:val="目录 71"/>
    <w:basedOn w:val="148"/>
    <w:autoRedefine/>
    <w:semiHidden/>
    <w:qFormat/>
    <w:uiPriority w:val="0"/>
    <w:pPr>
      <w:ind w:left="1260"/>
    </w:pPr>
  </w:style>
  <w:style w:type="paragraph" w:customStyle="1" w:styleId="150">
    <w:name w:val="目录 81"/>
    <w:basedOn w:val="149"/>
    <w:autoRedefine/>
    <w:semiHidden/>
    <w:qFormat/>
    <w:uiPriority w:val="0"/>
    <w:pPr>
      <w:ind w:left="1470"/>
    </w:pPr>
  </w:style>
  <w:style w:type="paragraph" w:customStyle="1" w:styleId="151">
    <w:name w:val="目录 91"/>
    <w:basedOn w:val="150"/>
    <w:autoRedefine/>
    <w:semiHidden/>
    <w:qFormat/>
    <w:uiPriority w:val="0"/>
    <w:pPr>
      <w:ind w:left="1680"/>
    </w:pPr>
  </w:style>
  <w:style w:type="paragraph" w:customStyle="1" w:styleId="152">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3">
    <w:name w:val="其他发布部门"/>
    <w:basedOn w:val="121"/>
    <w:autoRedefine/>
    <w:qFormat/>
    <w:uiPriority w:val="0"/>
    <w:pPr>
      <w:framePr w:wrap="around"/>
      <w:spacing w:line="0" w:lineRule="atLeast"/>
    </w:pPr>
    <w:rPr>
      <w:rFonts w:ascii="黑体" w:eastAsia="黑体"/>
      <w:b w:val="0"/>
    </w:rPr>
  </w:style>
  <w:style w:type="paragraph" w:customStyle="1" w:styleId="154">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5">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6">
    <w:name w:val="实施日期"/>
    <w:basedOn w:val="122"/>
    <w:autoRedefine/>
    <w:qFormat/>
    <w:uiPriority w:val="0"/>
    <w:pPr>
      <w:framePr w:hSpace="0" w:wrap="around" w:xAlign="right"/>
      <w:jc w:val="right"/>
    </w:pPr>
  </w:style>
  <w:style w:type="paragraph" w:customStyle="1" w:styleId="157">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8">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9">
    <w:name w:val="无标题条"/>
    <w:next w:val="58"/>
    <w:qFormat/>
    <w:uiPriority w:val="0"/>
    <w:pPr>
      <w:jc w:val="both"/>
    </w:pPr>
    <w:rPr>
      <w:rFonts w:ascii="宋体" w:hAnsi="宋体" w:eastAsia="宋体" w:cs="Times New Roman"/>
      <w:sz w:val="21"/>
      <w:lang w:val="en-US" w:eastAsia="zh-CN" w:bidi="ar-SA"/>
    </w:rPr>
  </w:style>
  <w:style w:type="paragraph" w:customStyle="1" w:styleId="160">
    <w:name w:val="五级无标题条"/>
    <w:basedOn w:val="1"/>
    <w:qFormat/>
    <w:uiPriority w:val="0"/>
    <w:pPr>
      <w:numPr>
        <w:ilvl w:val="6"/>
        <w:numId w:val="20"/>
      </w:numPr>
      <w:adjustRightInd/>
    </w:pPr>
    <w:rPr>
      <w:szCs w:val="24"/>
    </w:rPr>
  </w:style>
  <w:style w:type="paragraph" w:customStyle="1" w:styleId="161">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2">
    <w:name w:val="注:后续"/>
    <w:autoRedefine/>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3">
    <w:name w:val="注×:后续"/>
    <w:basedOn w:val="162"/>
    <w:qFormat/>
    <w:uiPriority w:val="0"/>
    <w:pPr>
      <w:ind w:left="1406" w:leftChars="0" w:hanging="499" w:firstLineChars="0"/>
    </w:pPr>
  </w:style>
  <w:style w:type="paragraph" w:customStyle="1" w:styleId="164">
    <w:name w:val="标准文件_一级无标题"/>
    <w:basedOn w:val="107"/>
    <w:autoRedefine/>
    <w:qFormat/>
    <w:uiPriority w:val="0"/>
    <w:pPr>
      <w:spacing w:before="0" w:beforeLines="0" w:after="0" w:afterLines="0"/>
      <w:outlineLvl w:val="9"/>
    </w:pPr>
    <w:rPr>
      <w:rFonts w:ascii="宋体" w:eastAsia="宋体"/>
    </w:rPr>
  </w:style>
  <w:style w:type="paragraph" w:customStyle="1" w:styleId="165">
    <w:name w:val="标准文件_五级无标题"/>
    <w:basedOn w:val="105"/>
    <w:qFormat/>
    <w:uiPriority w:val="0"/>
    <w:pPr>
      <w:spacing w:before="0" w:beforeLines="0" w:after="0" w:afterLines="0"/>
      <w:outlineLvl w:val="9"/>
    </w:pPr>
    <w:rPr>
      <w:rFonts w:ascii="宋体" w:eastAsia="宋体"/>
    </w:rPr>
  </w:style>
  <w:style w:type="paragraph" w:customStyle="1" w:styleId="166">
    <w:name w:val="标准文件_三级无标题"/>
    <w:basedOn w:val="96"/>
    <w:qFormat/>
    <w:uiPriority w:val="0"/>
    <w:pPr>
      <w:spacing w:before="0" w:beforeLines="0" w:after="0" w:afterLines="0"/>
      <w:outlineLvl w:val="9"/>
    </w:pPr>
    <w:rPr>
      <w:rFonts w:ascii="宋体" w:eastAsia="宋体"/>
    </w:rPr>
  </w:style>
  <w:style w:type="paragraph" w:customStyle="1" w:styleId="167">
    <w:name w:val="标准文件_二级无标题"/>
    <w:basedOn w:val="67"/>
    <w:qFormat/>
    <w:uiPriority w:val="0"/>
    <w:pPr>
      <w:spacing w:before="0" w:beforeLines="0" w:after="0" w:afterLines="0"/>
      <w:outlineLvl w:val="9"/>
    </w:pPr>
    <w:rPr>
      <w:rFonts w:ascii="宋体" w:eastAsia="宋体"/>
    </w:rPr>
  </w:style>
  <w:style w:type="paragraph" w:customStyle="1" w:styleId="168">
    <w:name w:val="标准_四级无标题"/>
    <w:basedOn w:val="100"/>
    <w:next w:val="58"/>
    <w:autoRedefine/>
    <w:qFormat/>
    <w:uiPriority w:val="0"/>
    <w:rPr>
      <w:rFonts w:eastAsia="宋体"/>
    </w:rPr>
  </w:style>
  <w:style w:type="paragraph" w:customStyle="1" w:styleId="169">
    <w:name w:val="标准文件_四级无标题"/>
    <w:basedOn w:val="100"/>
    <w:qFormat/>
    <w:uiPriority w:val="0"/>
    <w:pPr>
      <w:spacing w:before="0" w:beforeLines="0" w:after="0" w:afterLines="0"/>
      <w:outlineLvl w:val="9"/>
    </w:pPr>
    <w:rPr>
      <w:rFonts w:ascii="宋体" w:hAnsi="黑体" w:eastAsia="宋体"/>
      <w:szCs w:val="52"/>
    </w:rPr>
  </w:style>
  <w:style w:type="paragraph" w:customStyle="1" w:styleId="170">
    <w:name w:val="标准文件_大写罗马数字编号列项"/>
    <w:basedOn w:val="58"/>
    <w:qFormat/>
    <w:uiPriority w:val="0"/>
    <w:pPr>
      <w:numPr>
        <w:ilvl w:val="0"/>
        <w:numId w:val="23"/>
      </w:numPr>
      <w:ind w:firstLine="0" w:firstLineChars="0"/>
    </w:pPr>
    <w:rPr>
      <w:rFonts w:ascii="Times New Roman" w:cs="Arial"/>
      <w:szCs w:val="28"/>
    </w:rPr>
  </w:style>
  <w:style w:type="paragraph" w:customStyle="1" w:styleId="171">
    <w:name w:val="标准文件_小写罗马数字编号列项"/>
    <w:basedOn w:val="58"/>
    <w:qFormat/>
    <w:uiPriority w:val="0"/>
    <w:pPr>
      <w:numPr>
        <w:ilvl w:val="0"/>
        <w:numId w:val="24"/>
      </w:numPr>
      <w:ind w:firstLine="0" w:firstLineChars="0"/>
    </w:pPr>
    <w:rPr>
      <w:rFonts w:cs="Arial"/>
      <w:szCs w:val="28"/>
    </w:rPr>
  </w:style>
  <w:style w:type="paragraph" w:customStyle="1" w:styleId="172">
    <w:name w:val="标准文件_附录标题"/>
    <w:basedOn w:val="78"/>
    <w:qFormat/>
    <w:uiPriority w:val="0"/>
    <w:pPr>
      <w:numPr>
        <w:numId w:val="0"/>
      </w:numPr>
      <w:spacing w:after="280"/>
      <w:outlineLvl w:val="9"/>
    </w:pPr>
  </w:style>
  <w:style w:type="paragraph" w:customStyle="1" w:styleId="173">
    <w:name w:val="标准文件_二级项"/>
    <w:autoRedefine/>
    <w:qFormat/>
    <w:uiPriority w:val="0"/>
    <w:rPr>
      <w:rFonts w:ascii="宋体" w:hAnsi="Times New Roman" w:eastAsia="宋体" w:cs="Times New Roman"/>
      <w:sz w:val="21"/>
      <w:lang w:val="en-US" w:eastAsia="zh-CN" w:bidi="ar-SA"/>
    </w:rPr>
  </w:style>
  <w:style w:type="paragraph" w:customStyle="1" w:styleId="174">
    <w:name w:val="标准文件_三级项"/>
    <w:basedOn w:val="1"/>
    <w:qFormat/>
    <w:uiPriority w:val="0"/>
    <w:pPr>
      <w:numPr>
        <w:ilvl w:val="2"/>
        <w:numId w:val="21"/>
      </w:numPr>
      <w:spacing w:line="536870612" w:lineRule="auto"/>
    </w:pPr>
    <w:rPr>
      <w:rFonts w:ascii="Times New Roman" w:hAnsi="Times New Roman"/>
    </w:rPr>
  </w:style>
  <w:style w:type="paragraph" w:customStyle="1" w:styleId="175">
    <w:name w:val="图表脚注说明"/>
    <w:basedOn w:val="1"/>
    <w:next w:val="58"/>
    <w:qFormat/>
    <w:uiPriority w:val="0"/>
    <w:pPr>
      <w:numPr>
        <w:ilvl w:val="0"/>
        <w:numId w:val="25"/>
      </w:numPr>
      <w:adjustRightInd/>
      <w:spacing w:line="240" w:lineRule="auto"/>
      <w:ind w:left="783"/>
    </w:pPr>
    <w:rPr>
      <w:rFonts w:ascii="宋体" w:hAnsi="Times New Roman"/>
      <w:sz w:val="18"/>
      <w:szCs w:val="18"/>
    </w:rPr>
  </w:style>
  <w:style w:type="paragraph" w:customStyle="1" w:styleId="176">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7">
    <w:name w:val="标准文件_索引字母"/>
    <w:next w:val="58"/>
    <w:qFormat/>
    <w:uiPriority w:val="0"/>
    <w:pPr>
      <w:jc w:val="center"/>
    </w:pPr>
    <w:rPr>
      <w:rFonts w:ascii="宋体" w:hAnsi="宋体" w:eastAsia="Times New Roman" w:cs="Times New Roman"/>
      <w:b/>
      <w:kern w:val="2"/>
      <w:sz w:val="21"/>
      <w:lang w:val="en-US" w:eastAsia="zh-CN" w:bidi="ar-SA"/>
    </w:rPr>
  </w:style>
  <w:style w:type="paragraph" w:customStyle="1" w:styleId="178">
    <w:name w:val="标准文件_附录前"/>
    <w:next w:val="58"/>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9">
    <w:name w:val="标准文件_正文标准名称"/>
    <w:qFormat/>
    <w:uiPriority w:val="0"/>
    <w:pPr>
      <w:spacing w:after="640" w:line="400" w:lineRule="exact"/>
      <w:jc w:val="center"/>
    </w:pPr>
    <w:rPr>
      <w:rFonts w:ascii="黑体" w:hAnsi="黑体" w:eastAsia="黑体" w:cs="Times New Roman"/>
      <w:kern w:val="2"/>
      <w:sz w:val="32"/>
      <w:szCs w:val="32"/>
      <w:lang w:val="en-US" w:eastAsia="zh-CN" w:bidi="ar-SA"/>
    </w:rPr>
  </w:style>
  <w:style w:type="paragraph" w:customStyle="1" w:styleId="180">
    <w:name w:val="标准文件_表格"/>
    <w:basedOn w:val="58"/>
    <w:qFormat/>
    <w:uiPriority w:val="0"/>
    <w:pPr>
      <w:ind w:firstLine="0" w:firstLineChars="0"/>
      <w:jc w:val="center"/>
    </w:pPr>
    <w:rPr>
      <w:sz w:val="18"/>
    </w:rPr>
  </w:style>
  <w:style w:type="paragraph" w:customStyle="1" w:styleId="181">
    <w:name w:val="标准文件_注："/>
    <w:next w:val="58"/>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3">
    <w:name w:val="标准文件_示例："/>
    <w:next w:val="184"/>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4">
    <w:name w:val="标准文件_示例内容"/>
    <w:basedOn w:val="58"/>
    <w:qFormat/>
    <w:uiPriority w:val="0"/>
    <w:pPr>
      <w:ind w:firstLine="420"/>
    </w:pPr>
    <w:rPr>
      <w:sz w:val="18"/>
    </w:rPr>
  </w:style>
  <w:style w:type="paragraph" w:customStyle="1" w:styleId="185">
    <w:name w:val="标准文件_示例×："/>
    <w:basedOn w:val="1"/>
    <w:next w:val="184"/>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6">
    <w:name w:val="标准文件_段 Char"/>
    <w:link w:val="58"/>
    <w:qFormat/>
    <w:uiPriority w:val="0"/>
    <w:rPr>
      <w:rFonts w:ascii="宋体" w:hAnsi="Times New Roman"/>
      <w:sz w:val="21"/>
    </w:rPr>
  </w:style>
  <w:style w:type="paragraph" w:customStyle="1" w:styleId="187">
    <w:name w:val="标准文件_表格续"/>
    <w:basedOn w:val="58"/>
    <w:next w:val="58"/>
    <w:qFormat/>
    <w:uiPriority w:val="0"/>
    <w:pPr>
      <w:jc w:val="center"/>
    </w:pPr>
    <w:rPr>
      <w:rFonts w:ascii="黑体" w:hAnsi="黑体" w:eastAsia="黑体"/>
    </w:rPr>
  </w:style>
  <w:style w:type="character" w:styleId="188">
    <w:name w:val="Placeholder Text"/>
    <w:basedOn w:val="30"/>
    <w:semiHidden/>
    <w:qFormat/>
    <w:uiPriority w:val="99"/>
    <w:rPr>
      <w:color w:val="808080"/>
    </w:rPr>
  </w:style>
  <w:style w:type="paragraph" w:customStyle="1" w:styleId="189">
    <w:name w:val="标准文件_二级项2"/>
    <w:basedOn w:val="58"/>
    <w:qFormat/>
    <w:uiPriority w:val="0"/>
    <w:pPr>
      <w:numPr>
        <w:ilvl w:val="1"/>
        <w:numId w:val="21"/>
      </w:numPr>
      <w:ind w:left="1271" w:hanging="420" w:firstLineChars="0"/>
    </w:pPr>
  </w:style>
  <w:style w:type="paragraph" w:customStyle="1" w:styleId="190">
    <w:name w:val="标准文件_三级项2"/>
    <w:basedOn w:val="58"/>
    <w:qFormat/>
    <w:uiPriority w:val="0"/>
    <w:pPr>
      <w:numPr>
        <w:ilvl w:val="0"/>
        <w:numId w:val="30"/>
      </w:numPr>
      <w:spacing w:line="300" w:lineRule="exact"/>
      <w:ind w:left="1276" w:hanging="425" w:firstLineChars="0"/>
    </w:pPr>
    <w:rPr>
      <w:rFonts w:ascii="Times New Roman"/>
    </w:rPr>
  </w:style>
  <w:style w:type="paragraph" w:customStyle="1" w:styleId="191">
    <w:name w:val="标准文件_一级项2"/>
    <w:basedOn w:val="58"/>
    <w:qFormat/>
    <w:uiPriority w:val="0"/>
    <w:pPr>
      <w:numPr>
        <w:ilvl w:val="0"/>
        <w:numId w:val="31"/>
      </w:numPr>
      <w:spacing w:line="300" w:lineRule="exact"/>
      <w:ind w:left="1271" w:hanging="420" w:firstLineChars="0"/>
    </w:pPr>
    <w:rPr>
      <w:rFonts w:ascii="Times New Roman"/>
    </w:rPr>
  </w:style>
  <w:style w:type="paragraph" w:customStyle="1" w:styleId="192">
    <w:name w:val="标准文件_提示"/>
    <w:basedOn w:val="58"/>
    <w:next w:val="58"/>
    <w:qFormat/>
    <w:uiPriority w:val="0"/>
    <w:pPr>
      <w:ind w:firstLine="420"/>
    </w:pPr>
    <w:rPr>
      <w:rFonts w:ascii="黑体" w:eastAsia="黑体"/>
    </w:rPr>
  </w:style>
  <w:style w:type="character" w:customStyle="1" w:styleId="193">
    <w:name w:val="标准文件_来源"/>
    <w:basedOn w:val="30"/>
    <w:autoRedefine/>
    <w:qFormat/>
    <w:uiPriority w:val="1"/>
    <w:rPr>
      <w:rFonts w:eastAsia="宋体"/>
      <w:sz w:val="21"/>
    </w:rPr>
  </w:style>
  <w:style w:type="paragraph" w:customStyle="1" w:styleId="194">
    <w:name w:val="标准文件_图表说明"/>
    <w:autoRedefine/>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5">
    <w:name w:val="其他发布日期"/>
    <w:basedOn w:val="122"/>
    <w:qFormat/>
    <w:uiPriority w:val="0"/>
    <w:pPr>
      <w:framePr w:w="3997" w:h="471" w:hRule="exact" w:hSpace="0" w:vSpace="181" w:wrap="around" w:vAnchor="page" w:hAnchor="page" w:x="1419" w:y="14097"/>
    </w:pPr>
  </w:style>
  <w:style w:type="paragraph" w:customStyle="1" w:styleId="196">
    <w:name w:val="其他实施日期"/>
    <w:basedOn w:val="156"/>
    <w:qFormat/>
    <w:uiPriority w:val="0"/>
    <w:pPr>
      <w:framePr w:w="3997" w:h="471" w:hRule="exact" w:vSpace="181" w:wrap="around" w:vAnchor="page" w:hAnchor="page" w:x="7089" w:y="14097"/>
    </w:pPr>
  </w:style>
  <w:style w:type="paragraph" w:customStyle="1" w:styleId="197">
    <w:name w:val="标准文件_文件编号"/>
    <w:basedOn w:val="58"/>
    <w:autoRedefine/>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8">
    <w:name w:val="标准文件_替换文件编号"/>
    <w:basedOn w:val="197"/>
    <w:qFormat/>
    <w:uiPriority w:val="0"/>
    <w:pPr>
      <w:spacing w:before="57"/>
    </w:pPr>
    <w:rPr>
      <w:sz w:val="21"/>
    </w:rPr>
  </w:style>
  <w:style w:type="paragraph" w:customStyle="1" w:styleId="199">
    <w:name w:val="标准文件_文件名称"/>
    <w:basedOn w:val="58"/>
    <w:next w:val="58"/>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200">
    <w:name w:val="标准文件_附录图标号"/>
    <w:basedOn w:val="58"/>
    <w:next w:val="58"/>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1">
    <w:name w:val="标准文件_附录表标号"/>
    <w:basedOn w:val="58"/>
    <w:next w:val="58"/>
    <w:qFormat/>
    <w:uiPriority w:val="0"/>
    <w:pPr>
      <w:numPr>
        <w:ilvl w:val="0"/>
        <w:numId w:val="5"/>
      </w:numPr>
      <w:spacing w:line="14" w:lineRule="exact"/>
      <w:ind w:firstLine="0" w:firstLineChars="0"/>
      <w:jc w:val="center"/>
    </w:pPr>
    <w:rPr>
      <w:rFonts w:eastAsia="黑体"/>
      <w:vanish/>
      <w:sz w:val="2"/>
    </w:rPr>
  </w:style>
  <w:style w:type="paragraph" w:customStyle="1" w:styleId="202">
    <w:name w:val="标准文件_引言一级条标题"/>
    <w:basedOn w:val="58"/>
    <w:next w:val="58"/>
    <w:qFormat/>
    <w:uiPriority w:val="0"/>
    <w:pPr>
      <w:numPr>
        <w:ilvl w:val="1"/>
        <w:numId w:val="8"/>
      </w:numPr>
      <w:spacing w:before="50" w:beforeLines="50" w:after="50" w:afterLines="50"/>
      <w:ind w:firstLineChars="0"/>
    </w:pPr>
    <w:rPr>
      <w:rFonts w:ascii="黑体" w:eastAsia="黑体"/>
    </w:rPr>
  </w:style>
  <w:style w:type="paragraph" w:customStyle="1" w:styleId="203">
    <w:name w:val="标准文件_引言二级条标题"/>
    <w:basedOn w:val="58"/>
    <w:next w:val="58"/>
    <w:qFormat/>
    <w:uiPriority w:val="0"/>
    <w:pPr>
      <w:numPr>
        <w:ilvl w:val="2"/>
        <w:numId w:val="8"/>
      </w:numPr>
      <w:spacing w:before="50" w:beforeLines="50" w:after="50" w:afterLines="50"/>
      <w:ind w:firstLineChars="0"/>
    </w:pPr>
    <w:rPr>
      <w:rFonts w:ascii="黑体" w:eastAsia="黑体"/>
    </w:rPr>
  </w:style>
  <w:style w:type="paragraph" w:customStyle="1" w:styleId="204">
    <w:name w:val="标准文件_引言三级条标题"/>
    <w:basedOn w:val="58"/>
    <w:next w:val="58"/>
    <w:qFormat/>
    <w:uiPriority w:val="0"/>
    <w:pPr>
      <w:numPr>
        <w:ilvl w:val="3"/>
        <w:numId w:val="8"/>
      </w:numPr>
      <w:spacing w:before="50" w:beforeLines="50" w:after="50" w:afterLines="50"/>
      <w:ind w:firstLineChars="0"/>
    </w:pPr>
    <w:rPr>
      <w:rFonts w:ascii="黑体" w:eastAsia="黑体"/>
    </w:rPr>
  </w:style>
  <w:style w:type="paragraph" w:customStyle="1" w:styleId="205">
    <w:name w:val="标准文件_引言四级条标题"/>
    <w:basedOn w:val="58"/>
    <w:next w:val="58"/>
    <w:qFormat/>
    <w:uiPriority w:val="0"/>
    <w:pPr>
      <w:numPr>
        <w:ilvl w:val="4"/>
        <w:numId w:val="8"/>
      </w:numPr>
      <w:spacing w:before="50" w:beforeLines="50" w:after="50" w:afterLines="50"/>
      <w:ind w:firstLineChars="0"/>
    </w:pPr>
    <w:rPr>
      <w:rFonts w:ascii="黑体" w:eastAsia="黑体"/>
    </w:rPr>
  </w:style>
  <w:style w:type="paragraph" w:customStyle="1" w:styleId="206">
    <w:name w:val="标准文件_引言五级条标题"/>
    <w:basedOn w:val="58"/>
    <w:next w:val="58"/>
    <w:qFormat/>
    <w:uiPriority w:val="0"/>
    <w:pPr>
      <w:numPr>
        <w:ilvl w:val="5"/>
        <w:numId w:val="8"/>
      </w:numPr>
      <w:spacing w:before="50" w:beforeLines="50" w:after="50" w:afterLines="50"/>
      <w:ind w:firstLineChars="0"/>
    </w:pPr>
    <w:rPr>
      <w:rFonts w:ascii="黑体" w:eastAsia="黑体"/>
    </w:rPr>
  </w:style>
  <w:style w:type="paragraph" w:customStyle="1" w:styleId="207">
    <w:name w:val="标准文件_注后"/>
    <w:basedOn w:val="58"/>
    <w:qFormat/>
    <w:uiPriority w:val="0"/>
    <w:pPr>
      <w:ind w:left="811" w:firstLine="0" w:firstLineChars="0"/>
    </w:pPr>
    <w:rPr>
      <w:sz w:val="18"/>
    </w:rPr>
  </w:style>
  <w:style w:type="paragraph" w:customStyle="1" w:styleId="208">
    <w:name w:val="标准文件_注X后"/>
    <w:basedOn w:val="58"/>
    <w:qFormat/>
    <w:uiPriority w:val="0"/>
    <w:pPr>
      <w:ind w:left="811" w:firstLine="0" w:firstLineChars="0"/>
    </w:pPr>
    <w:rPr>
      <w:sz w:val="18"/>
    </w:rPr>
  </w:style>
  <w:style w:type="paragraph" w:customStyle="1" w:styleId="209">
    <w:name w:val="标准文件_示例后"/>
    <w:basedOn w:val="58"/>
    <w:qFormat/>
    <w:uiPriority w:val="0"/>
    <w:pPr>
      <w:ind w:left="964" w:firstLine="0" w:firstLineChars="0"/>
    </w:pPr>
    <w:rPr>
      <w:sz w:val="18"/>
    </w:rPr>
  </w:style>
  <w:style w:type="paragraph" w:customStyle="1" w:styleId="210">
    <w:name w:val="标准文件_示例X后"/>
    <w:basedOn w:val="58"/>
    <w:link w:val="211"/>
    <w:qFormat/>
    <w:uiPriority w:val="0"/>
    <w:pPr>
      <w:ind w:left="1049" w:firstLine="0" w:firstLineChars="0"/>
    </w:pPr>
    <w:rPr>
      <w:sz w:val="18"/>
    </w:rPr>
  </w:style>
  <w:style w:type="character" w:customStyle="1" w:styleId="211">
    <w:name w:val="标准文件_示例X后 字符"/>
    <w:basedOn w:val="186"/>
    <w:link w:val="210"/>
    <w:qFormat/>
    <w:uiPriority w:val="0"/>
    <w:rPr>
      <w:rFonts w:ascii="宋体" w:hAnsi="Times New Roman"/>
      <w:sz w:val="18"/>
    </w:rPr>
  </w:style>
  <w:style w:type="paragraph" w:customStyle="1" w:styleId="212">
    <w:name w:val="标准文件_索引项"/>
    <w:basedOn w:val="58"/>
    <w:next w:val="58"/>
    <w:qFormat/>
    <w:uiPriority w:val="0"/>
    <w:pPr>
      <w:tabs>
        <w:tab w:val="right" w:leader="dot" w:pos="9356"/>
      </w:tabs>
      <w:ind w:left="210" w:hanging="210" w:firstLineChars="0"/>
      <w:jc w:val="left"/>
    </w:pPr>
  </w:style>
  <w:style w:type="paragraph" w:customStyle="1" w:styleId="213">
    <w:name w:val="标准文件_附录一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二级无标题"/>
    <w:basedOn w:val="81"/>
    <w:qFormat/>
    <w:uiPriority w:val="0"/>
    <w:pPr>
      <w:spacing w:before="0" w:beforeLines="0" w:after="0" w:afterLines="0" w:line="276" w:lineRule="auto"/>
      <w:outlineLvl w:val="9"/>
    </w:pPr>
    <w:rPr>
      <w:rFonts w:ascii="宋体" w:eastAsia="宋体"/>
    </w:rPr>
  </w:style>
  <w:style w:type="paragraph" w:customStyle="1" w:styleId="215">
    <w:name w:val="标准文件_附录三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四级无标题"/>
    <w:basedOn w:val="84"/>
    <w:qFormat/>
    <w:uiPriority w:val="0"/>
    <w:pPr>
      <w:spacing w:before="0" w:beforeLines="0" w:after="0" w:afterLines="0" w:line="276" w:lineRule="auto"/>
      <w:outlineLvl w:val="9"/>
    </w:pPr>
    <w:rPr>
      <w:rFonts w:ascii="宋体" w:eastAsia="宋体"/>
    </w:rPr>
  </w:style>
  <w:style w:type="paragraph" w:customStyle="1" w:styleId="217">
    <w:name w:val="标准文件_附录五级无标题"/>
    <w:basedOn w:val="86"/>
    <w:qFormat/>
    <w:uiPriority w:val="0"/>
    <w:pPr>
      <w:spacing w:before="0" w:beforeLines="0" w:after="0" w:afterLines="0" w:line="276" w:lineRule="auto"/>
      <w:outlineLvl w:val="9"/>
    </w:pPr>
    <w:rPr>
      <w:rFonts w:ascii="宋体" w:eastAsia="宋体"/>
    </w:rPr>
  </w:style>
  <w:style w:type="paragraph" w:customStyle="1" w:styleId="218">
    <w:name w:val="标准文件_引言一级无标题"/>
    <w:basedOn w:val="202"/>
    <w:next w:val="58"/>
    <w:qFormat/>
    <w:uiPriority w:val="0"/>
    <w:pPr>
      <w:spacing w:before="0" w:beforeLines="0" w:after="0" w:afterLines="0" w:line="276" w:lineRule="auto"/>
    </w:pPr>
    <w:rPr>
      <w:rFonts w:ascii="宋体" w:eastAsia="宋体"/>
    </w:rPr>
  </w:style>
  <w:style w:type="paragraph" w:customStyle="1" w:styleId="219">
    <w:name w:val="标准文件_引言二级无标题"/>
    <w:basedOn w:val="203"/>
    <w:next w:val="58"/>
    <w:qFormat/>
    <w:uiPriority w:val="0"/>
    <w:pPr>
      <w:spacing w:before="0" w:beforeLines="0" w:after="0" w:afterLines="0" w:line="276" w:lineRule="auto"/>
    </w:pPr>
    <w:rPr>
      <w:rFonts w:ascii="宋体" w:eastAsia="宋体"/>
    </w:rPr>
  </w:style>
  <w:style w:type="paragraph" w:customStyle="1" w:styleId="220">
    <w:name w:val="标准文件_引言三级无标题"/>
    <w:basedOn w:val="204"/>
    <w:qFormat/>
    <w:uiPriority w:val="0"/>
    <w:pPr>
      <w:spacing w:before="0" w:beforeLines="0" w:after="0" w:afterLines="0" w:line="276" w:lineRule="auto"/>
    </w:pPr>
    <w:rPr>
      <w:rFonts w:ascii="宋体" w:eastAsia="宋体"/>
    </w:rPr>
  </w:style>
  <w:style w:type="paragraph" w:customStyle="1" w:styleId="221">
    <w:name w:val="标准文件_引言四级无标题"/>
    <w:basedOn w:val="205"/>
    <w:next w:val="58"/>
    <w:qFormat/>
    <w:uiPriority w:val="0"/>
    <w:pPr>
      <w:spacing w:before="0" w:beforeLines="0" w:after="0" w:afterLines="0" w:line="276" w:lineRule="auto"/>
    </w:pPr>
    <w:rPr>
      <w:rFonts w:ascii="宋体" w:eastAsia="宋体"/>
    </w:rPr>
  </w:style>
  <w:style w:type="paragraph" w:customStyle="1" w:styleId="222">
    <w:name w:val="标准文件_引言五级无标题"/>
    <w:basedOn w:val="206"/>
    <w:next w:val="58"/>
    <w:qFormat/>
    <w:uiPriority w:val="0"/>
    <w:pPr>
      <w:spacing w:before="0" w:beforeLines="0" w:after="0" w:afterLines="0" w:line="276" w:lineRule="auto"/>
    </w:pPr>
    <w:rPr>
      <w:rFonts w:ascii="宋体" w:eastAsia="宋体"/>
    </w:rPr>
  </w:style>
  <w:style w:type="paragraph" w:customStyle="1" w:styleId="223">
    <w:name w:val="标准文件_索引标题"/>
    <w:basedOn w:val="65"/>
    <w:next w:val="58"/>
    <w:qFormat/>
    <w:uiPriority w:val="0"/>
    <w:rPr>
      <w:rFonts w:hAnsi="黑体"/>
    </w:rPr>
  </w:style>
  <w:style w:type="paragraph" w:customStyle="1" w:styleId="224">
    <w:name w:val="标准文件_脚注内容"/>
    <w:basedOn w:val="58"/>
    <w:qFormat/>
    <w:uiPriority w:val="0"/>
    <w:pPr>
      <w:ind w:left="400" w:leftChars="200" w:hanging="200" w:hangingChars="200"/>
    </w:pPr>
    <w:rPr>
      <w:sz w:val="15"/>
    </w:rPr>
  </w:style>
  <w:style w:type="paragraph" w:customStyle="1" w:styleId="225">
    <w:name w:val="标准文件_术语条一"/>
    <w:basedOn w:val="164"/>
    <w:next w:val="58"/>
    <w:qFormat/>
    <w:uiPriority w:val="0"/>
  </w:style>
  <w:style w:type="paragraph" w:customStyle="1" w:styleId="226">
    <w:name w:val="标准文件_术语条二"/>
    <w:basedOn w:val="167"/>
    <w:next w:val="58"/>
    <w:qFormat/>
    <w:uiPriority w:val="0"/>
  </w:style>
  <w:style w:type="paragraph" w:customStyle="1" w:styleId="227">
    <w:name w:val="标准文件_术语条三"/>
    <w:basedOn w:val="166"/>
    <w:next w:val="58"/>
    <w:qFormat/>
    <w:uiPriority w:val="0"/>
  </w:style>
  <w:style w:type="paragraph" w:customStyle="1" w:styleId="228">
    <w:name w:val="标准文件_术语条四"/>
    <w:basedOn w:val="169"/>
    <w:next w:val="58"/>
    <w:qFormat/>
    <w:uiPriority w:val="0"/>
  </w:style>
  <w:style w:type="paragraph" w:customStyle="1" w:styleId="229">
    <w:name w:val="标准文件_术语条五"/>
    <w:basedOn w:val="165"/>
    <w:next w:val="58"/>
    <w:qFormat/>
    <w:uiPriority w:val="0"/>
  </w:style>
  <w:style w:type="paragraph" w:customStyle="1" w:styleId="230">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glossaryDocument" Target="glossary/document.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3.jpeg"/><Relationship Id="rId15" Type="http://schemas.openxmlformats.org/officeDocument/2006/relationships/image" Target="media/image2.tiff"/><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4.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69;&#23478;&#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E668E7384B774BE1A29245FB39FAFDF9"/>
        <w:style w:val=""/>
        <w:category>
          <w:name w:val="常规"/>
          <w:gallery w:val="placeholder"/>
        </w:category>
        <w:types>
          <w:type w:val="bbPlcHdr"/>
        </w:types>
        <w:behaviors>
          <w:behavior w:val="content"/>
        </w:behaviors>
        <w:description w:val=""/>
        <w:guid w:val="{423E3C3A-6656-466E-9C6E-1B271320C259}"/>
      </w:docPartPr>
      <w:docPartBody>
        <w:p w14:paraId="5D055E04">
          <w:pPr>
            <w:pStyle w:val="5"/>
          </w:pPr>
          <w:r>
            <w:rPr>
              <w:rStyle w:val="4"/>
              <w:rFonts w:hint="eastAsia"/>
            </w:rPr>
            <w:t>单击或点击此处输入文字。</w:t>
          </w:r>
        </w:p>
      </w:docPartBody>
    </w:docPart>
    <w:docPart>
      <w:docPartPr>
        <w:name w:val="570BC0154B324C5B8BA564AE274FD8FC"/>
        <w:style w:val=""/>
        <w:category>
          <w:name w:val="常规"/>
          <w:gallery w:val="placeholder"/>
        </w:category>
        <w:types>
          <w:type w:val="bbPlcHdr"/>
        </w:types>
        <w:behaviors>
          <w:behavior w:val="content"/>
        </w:behaviors>
        <w:description w:val=""/>
        <w:guid w:val="{289F736E-B724-4DC1-994B-E63F0BA8B723}"/>
      </w:docPartPr>
      <w:docPartBody>
        <w:p w14:paraId="2AE6B536">
          <w:pPr>
            <w:pStyle w:val="6"/>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3C0041" w:csb1="A008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3F58"/>
    <w:rsid w:val="0000226E"/>
    <w:rsid w:val="000B3472"/>
    <w:rsid w:val="003E568B"/>
    <w:rsid w:val="004C65F8"/>
    <w:rsid w:val="00622140"/>
    <w:rsid w:val="0063596C"/>
    <w:rsid w:val="006673AE"/>
    <w:rsid w:val="00700E64"/>
    <w:rsid w:val="007952FB"/>
    <w:rsid w:val="008106CF"/>
    <w:rsid w:val="00AE540F"/>
    <w:rsid w:val="00B82C1E"/>
    <w:rsid w:val="00C6129E"/>
    <w:rsid w:val="00DC3F58"/>
    <w:rsid w:val="00E37740"/>
    <w:rsid w:val="00F767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E668E7384B774BE1A29245FB39FAFDF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570BC0154B324C5B8BA564AE274FD8FC"/>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国家标准.dotx</Template>
  <Company>PCMI</Company>
  <Pages>14</Pages>
  <Words>6093</Words>
  <Characters>6780</Characters>
  <Lines>96</Lines>
  <Paragraphs>27</Paragraphs>
  <TotalTime>79</TotalTime>
  <ScaleCrop>false</ScaleCrop>
  <LinksUpToDate>false</LinksUpToDate>
  <CharactersWithSpaces>6983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2024-01-25T03:08:00Z</dcterms:created>
  <dc:creator>DELL</dc:creator>
  <dc:description>&lt;config cover="true" show_menu="true" version="1.0.0" doctype="SDKXY"&gt;_x000d_
&lt;/config&gt;</dc:description>
  <cp:lastModifiedBy>独角兽</cp:lastModifiedBy>
  <cp:lastPrinted>2026-01-13T02:50:00Z</cp:lastPrinted>
  <dcterms:modified xsi:type="dcterms:W3CDTF">2026-01-28T08:52:16Z</dcterms:modified>
  <dc:title>国家标准</dc:title>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国家标准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1</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2052-12.1.0.24657</vt:lpwstr>
  </property>
  <property fmtid="{D5CDD505-2E9C-101B-9397-08002B2CF9AE}" pid="15" name="ICV">
    <vt:lpwstr>1F0E9CDCE7EF4E1385A17C7E5D5F5174_12</vt:lpwstr>
  </property>
  <property fmtid="{D5CDD505-2E9C-101B-9397-08002B2CF9AE}" pid="16" name="KSOTemplateDocerSaveRecord">
    <vt:lpwstr>eyJoZGlkIjoiNTMzNjE2MjIwODI1OGQ2YzYxNTliNmRkZTU0ZmQ3OWEiLCJ1c2VySWQiOiIyMTQ2ODkxNCJ9</vt:lpwstr>
  </property>
</Properties>
</file>